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44" w:rsidRDefault="00B42544" w:rsidP="006B62C4">
      <w:pPr>
        <w:jc w:val="center"/>
        <w:rPr>
          <w:i/>
        </w:rPr>
      </w:pPr>
    </w:p>
    <w:p w:rsidR="00B42544" w:rsidRDefault="00B42544" w:rsidP="006B62C4">
      <w:pPr>
        <w:jc w:val="center"/>
        <w:rPr>
          <w:i/>
        </w:rPr>
      </w:pPr>
      <w:r w:rsidRPr="00F1284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alt="BANNER 3.png" style="width:482.25pt;height:98.25pt;visibility:visible">
            <v:imagedata r:id="rId8" o:title="BANNER 3"/>
          </v:shape>
        </w:pict>
      </w:r>
    </w:p>
    <w:p w:rsidR="00B42544" w:rsidRDefault="00B42544" w:rsidP="006B62C4">
      <w:pPr>
        <w:jc w:val="center"/>
        <w:rPr>
          <w:i/>
        </w:rPr>
      </w:pPr>
    </w:p>
    <w:p w:rsidR="00B42544" w:rsidRDefault="00B42544" w:rsidP="006B62C4">
      <w:pPr>
        <w:jc w:val="center"/>
        <w:rPr>
          <w:i/>
        </w:rPr>
      </w:pPr>
    </w:p>
    <w:p w:rsidR="00B42544" w:rsidRDefault="00B42544" w:rsidP="006B62C4">
      <w:pPr>
        <w:jc w:val="center"/>
        <w:rPr>
          <w:i/>
        </w:rPr>
      </w:pPr>
    </w:p>
    <w:p w:rsidR="00230279" w:rsidRPr="006B62C4" w:rsidRDefault="006B62C4" w:rsidP="006B62C4">
      <w:pPr>
        <w:jc w:val="center"/>
        <w:rPr>
          <w:i/>
        </w:rPr>
      </w:pPr>
      <w:r>
        <w:rPr>
          <w:i/>
        </w:rPr>
        <w:t>(</w:t>
      </w:r>
      <w:r w:rsidRPr="006B62C4">
        <w:rPr>
          <w:i/>
        </w:rPr>
        <w:t>carta intestata dell’istituzione scolastica</w:t>
      </w:r>
      <w:r>
        <w:rPr>
          <w:i/>
        </w:rPr>
        <w:t>)</w:t>
      </w:r>
    </w:p>
    <w:p w:rsidR="00230279" w:rsidRPr="00892393" w:rsidRDefault="00230279" w:rsidP="006B62C4">
      <w:pPr>
        <w:jc w:val="center"/>
      </w:pPr>
    </w:p>
    <w:p w:rsidR="00230279" w:rsidRPr="00892393" w:rsidRDefault="00230279" w:rsidP="00230279">
      <w:pPr>
        <w:pStyle w:val="Titolo"/>
        <w:jc w:val="left"/>
      </w:pPr>
    </w:p>
    <w:p w:rsidR="00230279" w:rsidRPr="00892393" w:rsidRDefault="00230279" w:rsidP="00230279">
      <w:pPr>
        <w:pStyle w:val="Titolo"/>
        <w:jc w:val="left"/>
      </w:pPr>
      <w:r w:rsidRPr="00892393">
        <w:t>Prot. N _________</w:t>
      </w:r>
      <w:r w:rsidRPr="00892393">
        <w:tab/>
      </w:r>
      <w:r w:rsidRPr="00892393">
        <w:tab/>
      </w:r>
      <w:r w:rsidRPr="00892393">
        <w:tab/>
      </w:r>
      <w:r w:rsidRPr="00892393">
        <w:tab/>
      </w:r>
      <w:r w:rsidRPr="00892393">
        <w:tab/>
      </w:r>
      <w:r w:rsidRPr="00892393">
        <w:tab/>
        <w:t xml:space="preserve">                  ………………, ___________</w:t>
      </w:r>
    </w:p>
    <w:p w:rsidR="00230279" w:rsidRPr="00892393" w:rsidRDefault="00230279" w:rsidP="00230279">
      <w:pPr>
        <w:pStyle w:val="Titolo"/>
        <w:jc w:val="right"/>
      </w:pPr>
    </w:p>
    <w:p w:rsidR="007A1F3E" w:rsidRPr="00892393" w:rsidRDefault="005C45F3" w:rsidP="005C45F3">
      <w:pPr>
        <w:pStyle w:val="Titolo"/>
        <w:tabs>
          <w:tab w:val="left" w:pos="5529"/>
        </w:tabs>
        <w:jc w:val="left"/>
      </w:pPr>
      <w:r>
        <w:tab/>
      </w:r>
      <w:r w:rsidR="007A1F3E" w:rsidRPr="00892393">
        <w:t xml:space="preserve">Al personale </w:t>
      </w:r>
      <w:r>
        <w:t>tutto</w:t>
      </w:r>
    </w:p>
    <w:p w:rsidR="00976E39" w:rsidRPr="00892393" w:rsidRDefault="007A1F3E" w:rsidP="005C45F3">
      <w:pPr>
        <w:pStyle w:val="Titolo"/>
        <w:tabs>
          <w:tab w:val="left" w:pos="5529"/>
        </w:tabs>
        <w:jc w:val="left"/>
      </w:pPr>
      <w:r w:rsidRPr="00892393">
        <w:tab/>
      </w:r>
      <w:r w:rsidR="00230279" w:rsidRPr="00892393">
        <w:t>Alla R.S.U. di Istituto</w:t>
      </w:r>
      <w:r w:rsidR="00976E39" w:rsidRPr="00892393">
        <w:tab/>
      </w:r>
    </w:p>
    <w:p w:rsidR="00230279" w:rsidRPr="00892393" w:rsidRDefault="007A1F3E" w:rsidP="005C45F3">
      <w:pPr>
        <w:pStyle w:val="Titolo"/>
        <w:tabs>
          <w:tab w:val="left" w:pos="5529"/>
        </w:tabs>
        <w:jc w:val="left"/>
      </w:pPr>
      <w:r w:rsidRPr="00892393">
        <w:t xml:space="preserve">  </w:t>
      </w:r>
      <w:r w:rsidRPr="00892393">
        <w:tab/>
      </w:r>
      <w:r w:rsidR="00976E39" w:rsidRPr="00892393">
        <w:t xml:space="preserve">Alle OO.SS. </w:t>
      </w:r>
      <w:r w:rsidRPr="00892393">
        <w:t xml:space="preserve">rappresentative </w:t>
      </w:r>
      <w:r w:rsidR="00976E39" w:rsidRPr="00892393">
        <w:t>territoriali</w:t>
      </w:r>
      <w:r w:rsidR="00230279" w:rsidRPr="00892393">
        <w:tab/>
      </w:r>
    </w:p>
    <w:p w:rsidR="00924197" w:rsidRPr="00892393" w:rsidRDefault="00924197" w:rsidP="00230279">
      <w:pPr>
        <w:pStyle w:val="Titolo"/>
        <w:jc w:val="left"/>
      </w:pPr>
    </w:p>
    <w:p w:rsidR="00230279" w:rsidRPr="00892393" w:rsidRDefault="00230279" w:rsidP="00924197">
      <w:pPr>
        <w:pStyle w:val="Titolo"/>
        <w:jc w:val="left"/>
      </w:pPr>
      <w:r w:rsidRPr="00892393">
        <w:t xml:space="preserve">Oggetto: Determinazioni dirigenziali </w:t>
      </w:r>
      <w:r w:rsidR="00924197" w:rsidRPr="00892393">
        <w:t xml:space="preserve">relative a materie di contrattazione integrativa d’istituto, </w:t>
      </w:r>
      <w:r w:rsidRPr="00892393">
        <w:t>ai sensi dell’art. 40</w:t>
      </w:r>
      <w:r w:rsidR="007A1F3E" w:rsidRPr="00892393">
        <w:t>,</w:t>
      </w:r>
      <w:r w:rsidRPr="00892393">
        <w:t xml:space="preserve"> comma 3-</w:t>
      </w:r>
      <w:r w:rsidRPr="00892393">
        <w:rPr>
          <w:i/>
        </w:rPr>
        <w:t>ter</w:t>
      </w:r>
      <w:r w:rsidR="007A1F3E" w:rsidRPr="00892393">
        <w:t>,</w:t>
      </w:r>
      <w:r w:rsidRPr="00892393">
        <w:t xml:space="preserve"> DLgs. 165/01</w:t>
      </w:r>
    </w:p>
    <w:p w:rsidR="00230279" w:rsidRPr="00892393" w:rsidRDefault="00230279" w:rsidP="00230279">
      <w:pPr>
        <w:ind w:firstLine="708"/>
        <w:jc w:val="both"/>
      </w:pPr>
    </w:p>
    <w:p w:rsidR="0079129B" w:rsidRDefault="0079129B" w:rsidP="00617C30">
      <w:pPr>
        <w:spacing w:after="120"/>
        <w:ind w:firstLine="708"/>
        <w:jc w:val="both"/>
      </w:pPr>
    </w:p>
    <w:p w:rsidR="0079129B" w:rsidRDefault="0079129B" w:rsidP="0079129B">
      <w:pPr>
        <w:spacing w:after="120"/>
        <w:ind w:firstLine="708"/>
        <w:jc w:val="center"/>
      </w:pPr>
      <w:r>
        <w:t>Il dirigente scolastico</w:t>
      </w:r>
    </w:p>
    <w:p w:rsidR="0079129B" w:rsidRDefault="0079129B" w:rsidP="0079129B">
      <w:pPr>
        <w:spacing w:after="120"/>
        <w:jc w:val="both"/>
      </w:pPr>
      <w:r>
        <w:t>Visto il CCNL -2016/2018 all’art. 7 commi 6 e 7;</w:t>
      </w:r>
    </w:p>
    <w:p w:rsidR="0079129B" w:rsidRDefault="0079129B" w:rsidP="0079129B">
      <w:pPr>
        <w:spacing w:after="120"/>
        <w:jc w:val="both"/>
      </w:pPr>
      <w:r>
        <w:t xml:space="preserve">Considerato che dall’avvio delle trattative relative ai punti di cui all’art. 22 del CCNL- Comparto Istruzione e Ricerca e precisamente per i punti ( </w:t>
      </w:r>
      <w:r>
        <w:rPr>
          <w:color w:val="FF0000"/>
        </w:rPr>
        <w:t>da ricordare che ai punti c1,c5,c6,c7,c8,c9 si applica il comma 6 art. 7 e che ai punti c2,c3,c4 si applica il comma 7 del medesimo articolo 22)</w:t>
      </w:r>
      <w:r>
        <w:t xml:space="preserve"> sono già decorsi 30/45 giorni prorogati di altri 30/45 giorni, senza che si sia addivenuti ad accordo tra le parti;</w:t>
      </w:r>
    </w:p>
    <w:p w:rsidR="0079129B" w:rsidRDefault="0039775C" w:rsidP="0079129B">
      <w:pPr>
        <w:spacing w:after="120"/>
        <w:jc w:val="both"/>
      </w:pPr>
      <w:r>
        <w:t xml:space="preserve">Al fine di non arrecare pregiudizio alla funzionalità dell’azione amministrativa, nel rispetto dei principi di comportamento di cui all’art. 8 del CCNL comparto Istruzione e ricerca 2016/2018, </w:t>
      </w:r>
    </w:p>
    <w:p w:rsidR="0039775C" w:rsidRDefault="0039775C" w:rsidP="0039775C">
      <w:pPr>
        <w:spacing w:after="120"/>
        <w:ind w:firstLine="708"/>
        <w:jc w:val="center"/>
      </w:pPr>
      <w:r>
        <w:t>COMUNICA</w:t>
      </w:r>
    </w:p>
    <w:p w:rsidR="0079129B" w:rsidRPr="0039775C" w:rsidRDefault="0039775C" w:rsidP="0039775C">
      <w:pPr>
        <w:spacing w:after="120"/>
        <w:jc w:val="both"/>
      </w:pPr>
      <w:r>
        <w:t xml:space="preserve">Di adottare in via unilaterale, ai sensi dell’art. 7 comma 6,  le determinazioni relative ai punti ( </w:t>
      </w:r>
      <w:r>
        <w:rPr>
          <w:color w:val="FF0000"/>
        </w:rPr>
        <w:t xml:space="preserve">indicare i punti per i quali non si è raggiunto l’accordo) </w:t>
      </w:r>
      <w:r>
        <w:t>e di seguito riportate</w:t>
      </w:r>
    </w:p>
    <w:p w:rsidR="0039775C" w:rsidRDefault="0039775C" w:rsidP="006E7289">
      <w:pPr>
        <w:spacing w:after="120"/>
        <w:jc w:val="both"/>
      </w:pPr>
      <w:r>
        <w:t>____________________________________________________________________</w:t>
      </w:r>
    </w:p>
    <w:p w:rsidR="00A31DF3" w:rsidRPr="0022406B" w:rsidRDefault="0039775C" w:rsidP="006E7289">
      <w:pPr>
        <w:spacing w:after="120"/>
        <w:jc w:val="both"/>
      </w:pPr>
      <w:r>
        <w:t>_______________________________________________________________________</w:t>
      </w:r>
      <w:r w:rsidR="00A31DF3" w:rsidRPr="0022406B">
        <w:t>.</w:t>
      </w:r>
    </w:p>
    <w:p w:rsidR="0039775C" w:rsidRPr="0039775C" w:rsidRDefault="0039775C" w:rsidP="00A31DF3">
      <w:pPr>
        <w:spacing w:after="120"/>
        <w:jc w:val="both"/>
        <w:rPr>
          <w:color w:val="FF0000"/>
        </w:rPr>
      </w:pPr>
      <w:r>
        <w:rPr>
          <w:color w:val="FF0000"/>
        </w:rPr>
        <w:t>oppure</w:t>
      </w:r>
    </w:p>
    <w:p w:rsidR="0039775C" w:rsidRDefault="0039775C" w:rsidP="00A31DF3">
      <w:pPr>
        <w:spacing w:after="120"/>
        <w:jc w:val="both"/>
      </w:pPr>
    </w:p>
    <w:p w:rsidR="0039775C" w:rsidRPr="0039775C" w:rsidRDefault="0039775C" w:rsidP="0039775C">
      <w:pPr>
        <w:spacing w:after="120"/>
        <w:jc w:val="both"/>
      </w:pPr>
      <w:r>
        <w:t xml:space="preserve">Di </w:t>
      </w:r>
      <w:r w:rsidR="00FC608E">
        <w:t>adottare in via provvisoria</w:t>
      </w:r>
      <w:r>
        <w:t xml:space="preserve"> ai sensi dell’art. 7 comma 7, le determinazioni relative ai punti (</w:t>
      </w:r>
      <w:r>
        <w:rPr>
          <w:color w:val="FF0000"/>
        </w:rPr>
        <w:t xml:space="preserve">indicare i punti per i quali non si è raggiunto l’accordo) </w:t>
      </w:r>
      <w:r>
        <w:t>e di seguito riportate</w:t>
      </w:r>
    </w:p>
    <w:p w:rsidR="0039775C" w:rsidRDefault="0039775C" w:rsidP="00A31DF3">
      <w:pPr>
        <w:spacing w:after="120"/>
        <w:jc w:val="both"/>
      </w:pPr>
      <w:r>
        <w:t>________________________________________________________________________-</w:t>
      </w:r>
    </w:p>
    <w:p w:rsidR="0039775C" w:rsidRDefault="0039775C" w:rsidP="00A31DF3">
      <w:pPr>
        <w:spacing w:after="120"/>
        <w:jc w:val="both"/>
      </w:pPr>
      <w:r>
        <w:t>__________________________________________________________________________</w:t>
      </w:r>
    </w:p>
    <w:p w:rsidR="00230279" w:rsidRPr="00892393" w:rsidRDefault="0039775C" w:rsidP="009345E6">
      <w:pPr>
        <w:spacing w:after="120"/>
        <w:jc w:val="both"/>
      </w:pPr>
      <w:r>
        <w:lastRenderedPageBreak/>
        <w:t xml:space="preserve">Le presenti  determinazioni assunte ai sensi dell’art. 7 comma 7 </w:t>
      </w:r>
      <w:r w:rsidR="00DC20BE" w:rsidRPr="0022406B">
        <w:t xml:space="preserve"> </w:t>
      </w:r>
      <w:r w:rsidR="00230279" w:rsidRPr="0022406B">
        <w:t>cess</w:t>
      </w:r>
      <w:r w:rsidR="00924197" w:rsidRPr="0022406B">
        <w:t>eranno</w:t>
      </w:r>
      <w:r w:rsidR="00230279" w:rsidRPr="0022406B">
        <w:t xml:space="preserve"> </w:t>
      </w:r>
      <w:r w:rsidR="00924197" w:rsidRPr="0022406B">
        <w:t>la loro</w:t>
      </w:r>
      <w:r w:rsidR="00230279" w:rsidRPr="0022406B">
        <w:t xml:space="preserve"> efficacia </w:t>
      </w:r>
      <w:r w:rsidR="00FC608E">
        <w:t xml:space="preserve">nel momento in cui si sarà pervenuti alla sottoscrizione dell’accordo tra le parti. </w:t>
      </w:r>
    </w:p>
    <w:p w:rsidR="00924197" w:rsidRPr="00892393" w:rsidRDefault="00924197" w:rsidP="00924197">
      <w:pPr>
        <w:jc w:val="both"/>
      </w:pPr>
    </w:p>
    <w:p w:rsidR="00BC6BD1" w:rsidRPr="00892393" w:rsidRDefault="00230279" w:rsidP="00924197">
      <w:pPr>
        <w:ind w:left="4956" w:firstLine="708"/>
        <w:jc w:val="both"/>
      </w:pPr>
      <w:r w:rsidRPr="00892393">
        <w:t xml:space="preserve">IL </w:t>
      </w:r>
      <w:r w:rsidR="0000596E">
        <w:t>DIRIGENTE</w:t>
      </w:r>
      <w:r w:rsidRPr="00892393">
        <w:t xml:space="preserve"> SCOLASTICO</w:t>
      </w:r>
    </w:p>
    <w:p w:rsidR="00924197" w:rsidRDefault="00924197" w:rsidP="00924197">
      <w:pPr>
        <w:ind w:left="4956" w:firstLine="708"/>
        <w:jc w:val="both"/>
      </w:pPr>
      <w:r w:rsidRPr="00892393">
        <w:t>(</w:t>
      </w:r>
      <w:r w:rsidR="00892393">
        <w:t xml:space="preserve"> </w:t>
      </w:r>
      <w:r w:rsidRPr="00892393">
        <w:t>………………………………</w:t>
      </w:r>
      <w:r w:rsidR="00892393">
        <w:t>.</w:t>
      </w:r>
      <w:r w:rsidRPr="00892393">
        <w:t>.</w:t>
      </w:r>
      <w:r w:rsidR="00892393">
        <w:t xml:space="preserve"> </w:t>
      </w:r>
      <w:r w:rsidRPr="00892393">
        <w:t>)</w:t>
      </w:r>
    </w:p>
    <w:p w:rsidR="0000596E" w:rsidRDefault="00743B93" w:rsidP="0000596E">
      <w:pPr>
        <w:jc w:val="center"/>
        <w:rPr>
          <w:b/>
        </w:rPr>
      </w:pPr>
      <w:r>
        <w:br w:type="page"/>
      </w:r>
      <w:r w:rsidR="0000596E" w:rsidRPr="00D83C7E">
        <w:rPr>
          <w:b/>
        </w:rPr>
        <w:lastRenderedPageBreak/>
        <w:t xml:space="preserve">TITOLO </w:t>
      </w:r>
      <w:r w:rsidR="0000596E">
        <w:rPr>
          <w:b/>
        </w:rPr>
        <w:t>PRIMO</w:t>
      </w:r>
      <w:r w:rsidR="0000596E" w:rsidRPr="00D83C7E">
        <w:rPr>
          <w:b/>
        </w:rPr>
        <w:t xml:space="preserve"> </w:t>
      </w:r>
      <w:r w:rsidR="0000596E">
        <w:rPr>
          <w:b/>
        </w:rPr>
        <w:t>–</w:t>
      </w:r>
      <w:r w:rsidR="0000596E" w:rsidRPr="00D83C7E">
        <w:rPr>
          <w:b/>
        </w:rPr>
        <w:t xml:space="preserve"> </w:t>
      </w:r>
      <w:r w:rsidR="0000596E">
        <w:rPr>
          <w:b/>
        </w:rPr>
        <w:t xml:space="preserve">PRESTAZIONI AGGIUNTIVE DEL </w:t>
      </w:r>
      <w:r w:rsidR="0000596E" w:rsidRPr="00D83C7E">
        <w:rPr>
          <w:b/>
        </w:rPr>
        <w:t>PERSONALE DOCENTE</w:t>
      </w:r>
      <w:r w:rsidR="0000596E">
        <w:rPr>
          <w:b/>
        </w:rPr>
        <w:t xml:space="preserve"> E ATA</w:t>
      </w:r>
    </w:p>
    <w:p w:rsidR="0000596E" w:rsidRPr="004F76DE" w:rsidRDefault="0000596E" w:rsidP="0000596E">
      <w:pPr>
        <w:jc w:val="both"/>
      </w:pPr>
    </w:p>
    <w:p w:rsidR="0000596E" w:rsidRPr="008B3ED8" w:rsidRDefault="0000596E" w:rsidP="0000596E">
      <w:pPr>
        <w:spacing w:line="360" w:lineRule="auto"/>
        <w:jc w:val="center"/>
        <w:rPr>
          <w:b/>
        </w:rPr>
      </w:pPr>
      <w:r w:rsidRPr="008B3ED8">
        <w:rPr>
          <w:b/>
        </w:rPr>
        <w:t xml:space="preserve">Art. </w:t>
      </w:r>
      <w:r>
        <w:rPr>
          <w:b/>
        </w:rPr>
        <w:t>1</w:t>
      </w:r>
      <w:r w:rsidRPr="008B3ED8">
        <w:rPr>
          <w:b/>
        </w:rPr>
        <w:t xml:space="preserve"> – Collaborazione plurime del personale docente</w:t>
      </w:r>
    </w:p>
    <w:p w:rsidR="0000596E" w:rsidRPr="00602F11" w:rsidRDefault="0000596E" w:rsidP="0000596E">
      <w:pPr>
        <w:numPr>
          <w:ilvl w:val="0"/>
          <w:numId w:val="27"/>
        </w:numPr>
        <w:jc w:val="both"/>
      </w:pPr>
      <w:r w:rsidRPr="00602F11">
        <w:t>Il dirigente può avvalersi della collaborazione di docenti di altre scuole – che a ciò si siano dichiarati disponibili – secondo quanto previsto dall’art. 35 del CCNL del comparto scuola  2006-2009.</w:t>
      </w:r>
    </w:p>
    <w:p w:rsidR="0000596E" w:rsidRPr="00602F11" w:rsidRDefault="0000596E" w:rsidP="0000596E">
      <w:pPr>
        <w:numPr>
          <w:ilvl w:val="0"/>
          <w:numId w:val="27"/>
        </w:numPr>
        <w:jc w:val="both"/>
      </w:pPr>
      <w:r w:rsidRPr="00602F11">
        <w:t>I relativ</w:t>
      </w:r>
      <w:r>
        <w:t xml:space="preserve">i compensi sono a carico del </w:t>
      </w:r>
      <w:r w:rsidRPr="00315D55">
        <w:t>Fondo per il salario accessorio</w:t>
      </w:r>
      <w:r w:rsidRPr="00602F11">
        <w:t xml:space="preserve"> dell’istituzione scolastica che conferisce l’incarico.</w:t>
      </w:r>
    </w:p>
    <w:p w:rsidR="0000596E" w:rsidRPr="00602F11" w:rsidRDefault="0000596E" w:rsidP="0000596E">
      <w:pPr>
        <w:jc w:val="both"/>
        <w:rPr>
          <w:i/>
          <w:iCs/>
          <w:strike/>
        </w:rPr>
      </w:pPr>
    </w:p>
    <w:p w:rsidR="0000596E" w:rsidRPr="00602F11" w:rsidRDefault="0000596E" w:rsidP="0000596E">
      <w:pPr>
        <w:pStyle w:val="Pidipagina"/>
        <w:tabs>
          <w:tab w:val="clear" w:pos="4819"/>
          <w:tab w:val="clear" w:pos="9638"/>
        </w:tabs>
        <w:spacing w:after="120"/>
        <w:jc w:val="center"/>
        <w:rPr>
          <w:b/>
        </w:rPr>
      </w:pPr>
      <w:r w:rsidRPr="00602F11">
        <w:rPr>
          <w:b/>
        </w:rPr>
        <w:t xml:space="preserve">Art. </w:t>
      </w:r>
      <w:r>
        <w:rPr>
          <w:b/>
          <w:lang w:val="it-IT"/>
        </w:rPr>
        <w:t>2</w:t>
      </w:r>
      <w:r w:rsidRPr="00602F11">
        <w:rPr>
          <w:b/>
        </w:rPr>
        <w:t xml:space="preserve"> – Prestazioni aggiuntive (lavoro straordinario ed intensificazione) e collaborazioni plurime del personale ATA</w:t>
      </w:r>
    </w:p>
    <w:p w:rsidR="0000596E" w:rsidRPr="00602F11" w:rsidRDefault="0000596E" w:rsidP="0000596E">
      <w:pPr>
        <w:numPr>
          <w:ilvl w:val="0"/>
          <w:numId w:val="28"/>
        </w:numPr>
        <w:jc w:val="both"/>
      </w:pPr>
      <w:r w:rsidRPr="00602F11">
        <w:t xml:space="preserve">In caso di necessità o di esigenze impreviste e non programmabili, il </w:t>
      </w:r>
      <w:r>
        <w:t>d</w:t>
      </w:r>
      <w:r w:rsidRPr="00602F11">
        <w:t>irigente – sentito il DSGA – può disporre l’effettuazione di prestazioni aggiuntive del personale ATA, costituenti lavoro straordinario, oltre l’orario d’obbligo.</w:t>
      </w:r>
    </w:p>
    <w:p w:rsidR="0000596E" w:rsidRPr="00602F11" w:rsidRDefault="0000596E" w:rsidP="0000596E">
      <w:pPr>
        <w:pStyle w:val="Pa53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221E1F"/>
        </w:rPr>
      </w:pPr>
      <w:r w:rsidRPr="00602F11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d</w:t>
      </w:r>
      <w:r w:rsidRPr="00602F11">
        <w:rPr>
          <w:rFonts w:ascii="Times New Roman" w:hAnsi="Times New Roman" w:cs="Times New Roman"/>
        </w:rPr>
        <w:t>irigente può disporre, inoltre,</w:t>
      </w:r>
      <w:r w:rsidRPr="00602F11">
        <w:rPr>
          <w:rFonts w:ascii="Times New Roman" w:hAnsi="Times New Roman" w:cs="Times New Roman"/>
          <w:color w:val="221E1F"/>
        </w:rPr>
        <w:t xml:space="preserve"> l’effettuazione di prestazioni aggiuntive, costituenti intensificazione della normale attività lavorativa, in caso di assenza di una o più unità di personale o per lo svolgimento di attività particolarmente impegnative e complesse.</w:t>
      </w:r>
    </w:p>
    <w:p w:rsidR="0000596E" w:rsidRPr="00602F11" w:rsidRDefault="0000596E" w:rsidP="0000596E">
      <w:pPr>
        <w:pStyle w:val="Pa5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221E1F"/>
        </w:rPr>
      </w:pPr>
      <w:r w:rsidRPr="00602F11">
        <w:rPr>
          <w:rFonts w:ascii="Times New Roman" w:hAnsi="Times New Roman" w:cs="Times New Roman"/>
          <w:color w:val="221E1F"/>
        </w:rPr>
        <w:t>Le prestazioni aggiuntive devono essere oggetto di formale incarico.</w:t>
      </w:r>
    </w:p>
    <w:p w:rsidR="0000596E" w:rsidRPr="00602F11" w:rsidRDefault="0000596E" w:rsidP="0000596E">
      <w:pPr>
        <w:numPr>
          <w:ilvl w:val="0"/>
          <w:numId w:val="28"/>
        </w:numPr>
        <w:jc w:val="both"/>
      </w:pPr>
      <w:r w:rsidRPr="00602F11">
        <w:rPr>
          <w:color w:val="221E1F"/>
        </w:rPr>
        <w:t xml:space="preserve">Per particolari attività il </w:t>
      </w:r>
      <w:r>
        <w:rPr>
          <w:color w:val="221E1F"/>
        </w:rPr>
        <w:t>d</w:t>
      </w:r>
      <w:r w:rsidRPr="00602F11">
        <w:rPr>
          <w:color w:val="221E1F"/>
        </w:rPr>
        <w:t xml:space="preserve">irigente – </w:t>
      </w:r>
      <w:r w:rsidRPr="00602F11">
        <w:t>sentito il</w:t>
      </w:r>
      <w:r w:rsidRPr="00602F11">
        <w:rPr>
          <w:color w:val="221E1F"/>
        </w:rPr>
        <w:t xml:space="preserve"> DSGA – può assegnare incarichi a personale ATA di altra istituzione scolastica, avvalendosi dell’istituto delle collaborazioni plurime, a norma dell’articolo 57 del CCNL del comparto scuola 2006-2009. Le prestazioni del personale amministrativo, tecnico ed ausiliario di altra scuola vengono remunerate con il fondo dell’istituzione scolastica presso cui sono effettuate tali attività.</w:t>
      </w:r>
    </w:p>
    <w:p w:rsidR="0000596E" w:rsidRPr="00602F11" w:rsidRDefault="0000596E" w:rsidP="0000596E">
      <w:pPr>
        <w:spacing w:line="360" w:lineRule="auto"/>
        <w:jc w:val="center"/>
        <w:rPr>
          <w:b/>
        </w:rPr>
      </w:pPr>
    </w:p>
    <w:p w:rsidR="0000596E" w:rsidRPr="00602F11" w:rsidRDefault="0000596E" w:rsidP="0000596E">
      <w:pPr>
        <w:jc w:val="center"/>
        <w:rPr>
          <w:b/>
        </w:rPr>
      </w:pPr>
      <w:r w:rsidRPr="00602F11">
        <w:rPr>
          <w:b/>
        </w:rPr>
        <w:t xml:space="preserve">TITOLO </w:t>
      </w:r>
      <w:r>
        <w:rPr>
          <w:b/>
        </w:rPr>
        <w:t>SECONDO</w:t>
      </w:r>
      <w:r w:rsidRPr="00602F11">
        <w:rPr>
          <w:b/>
        </w:rPr>
        <w:t xml:space="preserve"> – DISPOSIZIONI PARTICOLARI PER IL PERSONALE DOCENTE E ATA</w:t>
      </w:r>
    </w:p>
    <w:p w:rsidR="0000596E" w:rsidRPr="00602F11" w:rsidRDefault="0000596E" w:rsidP="0000596E">
      <w:pPr>
        <w:spacing w:line="360" w:lineRule="auto"/>
        <w:rPr>
          <w:b/>
        </w:rPr>
      </w:pPr>
    </w:p>
    <w:p w:rsidR="0000596E" w:rsidRPr="00602F11" w:rsidRDefault="0000596E" w:rsidP="0000596E">
      <w:pPr>
        <w:spacing w:line="360" w:lineRule="auto"/>
        <w:jc w:val="center"/>
        <w:rPr>
          <w:b/>
        </w:rPr>
      </w:pPr>
      <w:r w:rsidRPr="00602F11">
        <w:rPr>
          <w:b/>
        </w:rPr>
        <w:t xml:space="preserve">Art. </w:t>
      </w:r>
      <w:r>
        <w:rPr>
          <w:b/>
        </w:rPr>
        <w:t>3</w:t>
      </w:r>
      <w:r w:rsidRPr="00602F11">
        <w:rPr>
          <w:b/>
        </w:rPr>
        <w:t xml:space="preserve"> – Criteri per l’individuazione di fasce temporali di flessibilità oraria in entrata e in uscita per il personale ATA</w:t>
      </w:r>
    </w:p>
    <w:p w:rsidR="0000596E" w:rsidRPr="00602F11" w:rsidRDefault="0000596E" w:rsidP="0000596E">
      <w:pPr>
        <w:numPr>
          <w:ilvl w:val="0"/>
          <w:numId w:val="48"/>
        </w:numPr>
        <w:jc w:val="both"/>
      </w:pPr>
      <w:r>
        <w:t>Per l’individuazione delle</w:t>
      </w:r>
      <w:r w:rsidRPr="00602F11">
        <w:t xml:space="preserve"> fasce temporali di flessibilità oraria in entrata e in uscita per il personale ATA al fine di conseguire una maggiore conciliazione tra vita lavorativa e vita familiare </w:t>
      </w:r>
      <w:r>
        <w:t>è necessario che si verifichino</w:t>
      </w:r>
      <w:r w:rsidRPr="00602F11">
        <w:t xml:space="preserve"> entrambe le seguenti condizioni:</w:t>
      </w:r>
    </w:p>
    <w:p w:rsidR="0000596E" w:rsidRPr="00602F11" w:rsidRDefault="0000596E" w:rsidP="0000596E">
      <w:pPr>
        <w:numPr>
          <w:ilvl w:val="2"/>
          <w:numId w:val="26"/>
        </w:numPr>
        <w:jc w:val="both"/>
      </w:pPr>
      <w:r w:rsidRPr="00602F11">
        <w:t>le unità di personale ATA interessate ne facciano formale richiesta debitamente motivata;</w:t>
      </w:r>
    </w:p>
    <w:p w:rsidR="0000596E" w:rsidRDefault="0000596E" w:rsidP="0000596E">
      <w:pPr>
        <w:numPr>
          <w:ilvl w:val="2"/>
          <w:numId w:val="26"/>
        </w:numPr>
        <w:jc w:val="both"/>
      </w:pPr>
      <w:r w:rsidRPr="00602F11">
        <w:t>la richiesta sia compatibile con la garanzia della continuità</w:t>
      </w:r>
      <w:r>
        <w:t xml:space="preserve"> e della qualità</w:t>
      </w:r>
      <w:r w:rsidRPr="00602F11">
        <w:t xml:space="preserve"> dei servizi.</w:t>
      </w:r>
    </w:p>
    <w:p w:rsidR="0000596E" w:rsidRDefault="0000596E" w:rsidP="0000596E">
      <w:pPr>
        <w:numPr>
          <w:ilvl w:val="0"/>
          <w:numId w:val="48"/>
        </w:numPr>
        <w:jc w:val="both"/>
      </w:pPr>
      <w:r>
        <w:t>I criteri per individuare le predette fasce temporali sono i seguenti [</w:t>
      </w:r>
      <w:r w:rsidRPr="003D2ADE">
        <w:rPr>
          <w:i/>
          <w:color w:val="FF0000"/>
        </w:rPr>
        <w:t>ad esempio</w:t>
      </w:r>
      <w:r>
        <w:t>]:</w:t>
      </w:r>
    </w:p>
    <w:p w:rsidR="0000596E" w:rsidRDefault="0000596E" w:rsidP="0000596E">
      <w:pPr>
        <w:numPr>
          <w:ilvl w:val="2"/>
          <w:numId w:val="26"/>
        </w:numPr>
        <w:jc w:val="both"/>
      </w:pPr>
      <w:r>
        <w:t>l’orario di entrata non potrà essere successivo all’orario di inizio delle lezioni;</w:t>
      </w:r>
    </w:p>
    <w:p w:rsidR="0000596E" w:rsidRPr="00602F11" w:rsidRDefault="0000596E" w:rsidP="0000596E">
      <w:pPr>
        <w:numPr>
          <w:ilvl w:val="2"/>
          <w:numId w:val="26"/>
        </w:numPr>
        <w:jc w:val="both"/>
      </w:pPr>
      <w:r>
        <w:t>l’orario di uscita non potrà essere precedente alla mezz’ora successiva all’orario di conclusione delle lezioni.</w:t>
      </w:r>
    </w:p>
    <w:p w:rsidR="0000596E" w:rsidRPr="00602F11" w:rsidRDefault="0000596E" w:rsidP="0000596E">
      <w:pPr>
        <w:jc w:val="center"/>
        <w:rPr>
          <w:b/>
        </w:rPr>
      </w:pPr>
    </w:p>
    <w:p w:rsidR="0000596E" w:rsidRPr="00602F11" w:rsidRDefault="0000596E" w:rsidP="0000596E">
      <w:pPr>
        <w:spacing w:line="360" w:lineRule="auto"/>
        <w:jc w:val="center"/>
        <w:rPr>
          <w:b/>
        </w:rPr>
      </w:pPr>
    </w:p>
    <w:p w:rsidR="0000596E" w:rsidRPr="00602F11" w:rsidRDefault="0000596E" w:rsidP="0000596E">
      <w:pPr>
        <w:spacing w:line="360" w:lineRule="auto"/>
        <w:jc w:val="center"/>
        <w:rPr>
          <w:b/>
        </w:rPr>
      </w:pPr>
      <w:r w:rsidRPr="00602F11">
        <w:rPr>
          <w:b/>
        </w:rPr>
        <w:t xml:space="preserve">Art. </w:t>
      </w:r>
      <w:r>
        <w:rPr>
          <w:b/>
        </w:rPr>
        <w:t>4</w:t>
      </w:r>
      <w:r w:rsidRPr="00602F11">
        <w:rPr>
          <w:b/>
        </w:rPr>
        <w:t xml:space="preserve"> – Criteri generali per l’utilizzo di strumentazioni tecnologiche di lavoro in orario diverso da quello di servizio</w:t>
      </w:r>
    </w:p>
    <w:p w:rsidR="0000596E" w:rsidRPr="00602F11" w:rsidRDefault="0000596E" w:rsidP="0000596E">
      <w:pPr>
        <w:pStyle w:val="Paragrafoelenco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02F11">
        <w:rPr>
          <w:rFonts w:ascii="Times New Roman" w:hAnsi="Times New Roman"/>
          <w:i/>
          <w:color w:val="FF0000"/>
          <w:sz w:val="24"/>
          <w:szCs w:val="24"/>
        </w:rPr>
        <w:t>[ad esempio…]</w:t>
      </w:r>
      <w:r w:rsidRPr="00602F11">
        <w:rPr>
          <w:rFonts w:ascii="Times New Roman" w:hAnsi="Times New Roman"/>
          <w:sz w:val="24"/>
          <w:szCs w:val="24"/>
        </w:rPr>
        <w:t xml:space="preserve"> Le comunicazioni di servizio (avvisi, circolari, ecc.) vengono pubblicate sul sito istituzionale e sul registro elettronico entro le ore 16.00 </w:t>
      </w:r>
      <w:r w:rsidRPr="00602F11">
        <w:rPr>
          <w:rFonts w:ascii="Times New Roman" w:hAnsi="Times New Roman"/>
          <w:i/>
          <w:color w:val="FF0000"/>
          <w:sz w:val="24"/>
          <w:szCs w:val="24"/>
        </w:rPr>
        <w:t>[o altro]</w:t>
      </w:r>
      <w:r w:rsidRPr="00602F11">
        <w:rPr>
          <w:rFonts w:ascii="Times New Roman" w:hAnsi="Times New Roman"/>
          <w:sz w:val="24"/>
          <w:szCs w:val="24"/>
        </w:rPr>
        <w:t xml:space="preserve">; con la stessa tempistica le </w:t>
      </w:r>
      <w:r w:rsidRPr="00602F11">
        <w:rPr>
          <w:rFonts w:ascii="Times New Roman" w:hAnsi="Times New Roman"/>
          <w:sz w:val="24"/>
          <w:szCs w:val="24"/>
        </w:rPr>
        <w:lastRenderedPageBreak/>
        <w:t xml:space="preserve">comunicazioni sono inoltrate al personale tramite la posta elettronica di servizio o altra posta elettronica comunicata e autorizzata all’uso dal personale stesso o altre piattaforme. </w:t>
      </w:r>
    </w:p>
    <w:p w:rsidR="0000596E" w:rsidRPr="00602F11" w:rsidRDefault="0000596E" w:rsidP="0000596E">
      <w:pPr>
        <w:pStyle w:val="Paragrafoelenco"/>
        <w:numPr>
          <w:ilvl w:val="0"/>
          <w:numId w:val="4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02F11">
        <w:rPr>
          <w:rFonts w:ascii="Times New Roman" w:hAnsi="Times New Roman"/>
          <w:sz w:val="24"/>
          <w:szCs w:val="24"/>
        </w:rPr>
        <w:t>È fatta salva la possibilità per l’Amministrazione di inviare o ricevere comunicazioni, tramite qualunque supporto, oltre gli orari indicati in caso di urgenza indifferibile.</w:t>
      </w:r>
    </w:p>
    <w:p w:rsidR="0000596E" w:rsidRPr="00602F11" w:rsidRDefault="0000596E" w:rsidP="0000596E">
      <w:pPr>
        <w:spacing w:line="276" w:lineRule="auto"/>
        <w:jc w:val="both"/>
        <w:rPr>
          <w:rFonts w:ascii="Arial" w:hAnsi="Arial" w:cs="Arial"/>
        </w:rPr>
      </w:pPr>
    </w:p>
    <w:p w:rsidR="0000596E" w:rsidRPr="00602F11" w:rsidRDefault="0000596E" w:rsidP="0000596E">
      <w:pPr>
        <w:jc w:val="center"/>
        <w:rPr>
          <w:b/>
        </w:rPr>
      </w:pPr>
    </w:p>
    <w:p w:rsidR="0000596E" w:rsidRPr="00602F11" w:rsidRDefault="0000596E" w:rsidP="0000596E">
      <w:pPr>
        <w:spacing w:line="360" w:lineRule="auto"/>
        <w:jc w:val="center"/>
        <w:rPr>
          <w:b/>
        </w:rPr>
      </w:pPr>
      <w:r w:rsidRPr="00602F11">
        <w:rPr>
          <w:b/>
        </w:rPr>
        <w:t xml:space="preserve">Art. </w:t>
      </w:r>
      <w:r>
        <w:rPr>
          <w:b/>
        </w:rPr>
        <w:t>5</w:t>
      </w:r>
      <w:r w:rsidRPr="00602F11">
        <w:rPr>
          <w:b/>
        </w:rPr>
        <w:t xml:space="preserve"> – Riflessi sulla qualità del lavoro e sulla professionalità delle innovazioni tecnologiche e dei processi di informatizzazione </w:t>
      </w:r>
    </w:p>
    <w:p w:rsidR="0000596E" w:rsidRPr="00602F11" w:rsidRDefault="0000596E" w:rsidP="0000596E">
      <w:pPr>
        <w:numPr>
          <w:ilvl w:val="0"/>
          <w:numId w:val="49"/>
        </w:numPr>
        <w:spacing w:line="276" w:lineRule="auto"/>
        <w:jc w:val="both"/>
      </w:pPr>
      <w:r w:rsidRPr="00602F11">
        <w:rPr>
          <w:i/>
          <w:color w:val="FF0000"/>
        </w:rPr>
        <w:t>[ad esempio…]</w:t>
      </w:r>
      <w:r w:rsidRPr="00602F11">
        <w:t xml:space="preserve"> Le innovazioni tecnologiche e i processi di informatizzazione che caratterizzano la prestazione di lavoro del personale docente e ATA sono accompagnati da specifico addestramento del personale interessato.</w:t>
      </w:r>
    </w:p>
    <w:p w:rsidR="0000596E" w:rsidRPr="00602F11" w:rsidRDefault="0000596E" w:rsidP="0000596E">
      <w:pPr>
        <w:numPr>
          <w:ilvl w:val="0"/>
          <w:numId w:val="49"/>
        </w:numPr>
        <w:spacing w:line="276" w:lineRule="auto"/>
        <w:jc w:val="both"/>
      </w:pPr>
      <w:r w:rsidRPr="00602F11">
        <w:t>Tale addestramento va inteso come arricchimento della professionalità del personale docente e ATA.</w:t>
      </w:r>
    </w:p>
    <w:p w:rsidR="0000596E" w:rsidRPr="00EF08C7" w:rsidRDefault="0000596E" w:rsidP="0000596E">
      <w:pPr>
        <w:spacing w:line="276" w:lineRule="auto"/>
        <w:ind w:left="360"/>
        <w:jc w:val="both"/>
        <w:rPr>
          <w:highlight w:val="yellow"/>
        </w:rPr>
      </w:pPr>
    </w:p>
    <w:p w:rsidR="0000596E" w:rsidRPr="00EF08C7" w:rsidRDefault="0000596E" w:rsidP="0000596E">
      <w:pPr>
        <w:jc w:val="center"/>
        <w:rPr>
          <w:b/>
        </w:rPr>
      </w:pPr>
    </w:p>
    <w:p w:rsidR="0000596E" w:rsidRDefault="0000596E" w:rsidP="0000596E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TITOLO TERZO </w:t>
      </w:r>
      <w:r w:rsidRPr="00B477E4">
        <w:rPr>
          <w:b/>
        </w:rPr>
        <w:t>- TRATTAMENTO ECONOMICO ACCESSORIO</w:t>
      </w:r>
    </w:p>
    <w:p w:rsidR="0000596E" w:rsidRPr="00B477E4" w:rsidRDefault="0000596E" w:rsidP="0000596E">
      <w:pPr>
        <w:jc w:val="center"/>
        <w:rPr>
          <w:b/>
        </w:rPr>
      </w:pPr>
    </w:p>
    <w:p w:rsidR="0000596E" w:rsidRDefault="0000596E" w:rsidP="0000596E">
      <w:pPr>
        <w:jc w:val="center"/>
      </w:pPr>
      <w:r>
        <w:t>CAPO I - NORME GENERALI</w:t>
      </w:r>
    </w:p>
    <w:p w:rsidR="0000596E" w:rsidRPr="004F76DE" w:rsidRDefault="0000596E" w:rsidP="0000596E">
      <w:pPr>
        <w:jc w:val="center"/>
      </w:pPr>
    </w:p>
    <w:p w:rsidR="0000596E" w:rsidRDefault="0000596E" w:rsidP="0000596E">
      <w:pPr>
        <w:spacing w:line="360" w:lineRule="auto"/>
        <w:jc w:val="center"/>
        <w:rPr>
          <w:b/>
        </w:rPr>
      </w:pPr>
      <w:r w:rsidRPr="00DF42ED">
        <w:rPr>
          <w:b/>
        </w:rPr>
        <w:t>Art.</w:t>
      </w:r>
      <w:r>
        <w:rPr>
          <w:b/>
        </w:rPr>
        <w:t xml:space="preserve"> 6</w:t>
      </w:r>
      <w:r w:rsidRPr="00DF42ED">
        <w:rPr>
          <w:b/>
        </w:rPr>
        <w:t xml:space="preserve"> </w:t>
      </w:r>
      <w:r>
        <w:rPr>
          <w:b/>
        </w:rPr>
        <w:t>–</w:t>
      </w:r>
      <w:r w:rsidRPr="00DF42ED">
        <w:rPr>
          <w:b/>
        </w:rPr>
        <w:t xml:space="preserve"> </w:t>
      </w:r>
      <w:r>
        <w:rPr>
          <w:b/>
        </w:rPr>
        <w:t>Fondo per il salario accessorio</w:t>
      </w:r>
    </w:p>
    <w:p w:rsidR="0000596E" w:rsidRDefault="0000596E" w:rsidP="0000596E">
      <w:pPr>
        <w:numPr>
          <w:ilvl w:val="0"/>
          <w:numId w:val="31"/>
        </w:numPr>
        <w:spacing w:after="120"/>
        <w:ind w:left="357" w:hanging="357"/>
      </w:pPr>
      <w:r>
        <w:t>Il Fondo per il salario accessorio dell’anno scolastico  …./…. è complessivamente alimentato da</w:t>
      </w:r>
      <w:r w:rsidRPr="004F76DE">
        <w:t>:</w:t>
      </w:r>
    </w:p>
    <w:p w:rsidR="0000596E" w:rsidRPr="00602F11" w:rsidRDefault="0000596E" w:rsidP="0000596E">
      <w:pPr>
        <w:numPr>
          <w:ilvl w:val="1"/>
          <w:numId w:val="46"/>
        </w:numPr>
        <w:ind w:left="851" w:hanging="284"/>
        <w:jc w:val="both"/>
      </w:pPr>
      <w:r w:rsidRPr="00EA374B">
        <w:t>Fondo per il miglioramento dell’offerta formativa</w:t>
      </w:r>
      <w:r w:rsidRPr="00602F11">
        <w:t xml:space="preserve"> (art. 40 CCNL del comparto istruzione e ricerca 2016-2018) erogato dal MIUR;</w:t>
      </w:r>
    </w:p>
    <w:p w:rsidR="0000596E" w:rsidRPr="00602F11" w:rsidRDefault="0000596E" w:rsidP="0000596E">
      <w:pPr>
        <w:numPr>
          <w:ilvl w:val="1"/>
          <w:numId w:val="46"/>
        </w:numPr>
        <w:ind w:left="851" w:hanging="284"/>
        <w:jc w:val="both"/>
      </w:pPr>
      <w:r w:rsidRPr="00602F11">
        <w:t>ogni ulteriore finanziamento erogato dal MIUR;</w:t>
      </w:r>
    </w:p>
    <w:p w:rsidR="0000596E" w:rsidRPr="00602F11" w:rsidRDefault="0000596E" w:rsidP="0000596E">
      <w:pPr>
        <w:numPr>
          <w:ilvl w:val="1"/>
          <w:numId w:val="46"/>
        </w:numPr>
        <w:ind w:left="851" w:hanging="284"/>
        <w:jc w:val="both"/>
      </w:pPr>
      <w:r w:rsidRPr="00602F11">
        <w:t xml:space="preserve">eventuali economie del Fondo </w:t>
      </w:r>
      <w:r>
        <w:t>per il salario accessorio</w:t>
      </w:r>
      <w:r w:rsidRPr="00602F11">
        <w:t xml:space="preserve"> </w:t>
      </w:r>
      <w:r>
        <w:t xml:space="preserve">derivanti da risorse </w:t>
      </w:r>
      <w:r w:rsidRPr="00602F11">
        <w:t>non utilizzat</w:t>
      </w:r>
      <w:r>
        <w:t>e</w:t>
      </w:r>
      <w:r w:rsidRPr="00602F11">
        <w:t xml:space="preserve"> negli anni scolastici precedenti;</w:t>
      </w:r>
    </w:p>
    <w:p w:rsidR="0000596E" w:rsidRPr="00602F11" w:rsidRDefault="0000596E" w:rsidP="0000596E">
      <w:pPr>
        <w:numPr>
          <w:ilvl w:val="1"/>
          <w:numId w:val="46"/>
        </w:numPr>
        <w:ind w:left="851" w:hanging="284"/>
        <w:jc w:val="both"/>
      </w:pPr>
      <w:r w:rsidRPr="00602F11">
        <w:t>altre risorse provenienti dall’Amministrazione e da altri Enti, pubblici o privati, destinate a retribuire il personale della istituzione scolastica, a seguito di accordi, convenzioni od altro in base alla quantificazione risultante nel Programma annuale di riferimento;</w:t>
      </w:r>
    </w:p>
    <w:p w:rsidR="0000596E" w:rsidRPr="00F357F2" w:rsidRDefault="0000596E" w:rsidP="0000596E">
      <w:pPr>
        <w:numPr>
          <w:ilvl w:val="1"/>
          <w:numId w:val="46"/>
        </w:numPr>
        <w:ind w:left="851" w:hanging="284"/>
        <w:jc w:val="both"/>
      </w:pPr>
      <w:r w:rsidRPr="00F357F2">
        <w:t>eventuali contributi volontari dei genitori destinati al personale a seguito di delibera di approvazione del Programma annuale da parte del Consiglio di Istituto e successivo accertamento da parte del dirigente [</w:t>
      </w:r>
      <w:r w:rsidRPr="00F357F2">
        <w:rPr>
          <w:i/>
          <w:color w:val="FF0000"/>
        </w:rPr>
        <w:t>o a seguito di  variazione del P.A</w:t>
      </w:r>
      <w:r w:rsidRPr="00F357F2">
        <w:t>.] da calcolarsi al lordo dipendente.</w:t>
      </w:r>
    </w:p>
    <w:p w:rsidR="0000596E" w:rsidRPr="00EA374B" w:rsidRDefault="0000596E" w:rsidP="0000596E">
      <w:pPr>
        <w:numPr>
          <w:ilvl w:val="1"/>
          <w:numId w:val="46"/>
        </w:numPr>
        <w:ind w:left="851" w:hanging="284"/>
        <w:jc w:val="both"/>
      </w:pPr>
      <w:r w:rsidRPr="00EA374B">
        <w:t>…</w:t>
      </w:r>
    </w:p>
    <w:p w:rsidR="0000596E" w:rsidRPr="00602F11" w:rsidRDefault="0000596E" w:rsidP="0000596E">
      <w:pPr>
        <w:numPr>
          <w:ilvl w:val="0"/>
          <w:numId w:val="31"/>
        </w:numPr>
        <w:spacing w:before="120"/>
        <w:ind w:left="357" w:hanging="357"/>
        <w:jc w:val="both"/>
      </w:pPr>
      <w:r w:rsidRPr="00602F11">
        <w:t xml:space="preserve">Il Fondo per la contrattazione integrativa è quantificato nell’apposito atto di costituzione, emanato dal dirigente secondo le istruzioni contenute nel paragrafo III.1 della circolare 19 luglio 2012, n. 25 della Ragioneria Generale dello Stato. Tale atto è predisposto sulla base delle informazioni disponibili alla data di avvio della contrattazione ed è tempestivamente aggiornato a seguito della eventuale disponibilità di nuove risorse. Di esso il dirigente fornisce informazione alla parte sindacale. </w:t>
      </w:r>
      <w:r w:rsidRPr="00602F11">
        <w:rPr>
          <w:i/>
          <w:color w:val="FF0000"/>
        </w:rPr>
        <w:t>[l’ammontare delle risorse, in effetti, non è mai contrattabile e dunque il loro importo totale deve essere oggetto di sola informazione preventiva].</w:t>
      </w:r>
    </w:p>
    <w:p w:rsidR="0000596E" w:rsidRPr="00602F11" w:rsidRDefault="0000596E" w:rsidP="0000596E">
      <w:pPr>
        <w:ind w:left="180"/>
        <w:jc w:val="both"/>
      </w:pPr>
    </w:p>
    <w:p w:rsidR="0000596E" w:rsidRPr="00602F11" w:rsidRDefault="0000596E" w:rsidP="0000596E">
      <w:pPr>
        <w:spacing w:line="360" w:lineRule="auto"/>
        <w:jc w:val="center"/>
        <w:rPr>
          <w:b/>
        </w:rPr>
      </w:pPr>
      <w:r w:rsidRPr="00602F11">
        <w:rPr>
          <w:b/>
        </w:rPr>
        <w:t xml:space="preserve">Art. </w:t>
      </w:r>
      <w:r>
        <w:rPr>
          <w:b/>
        </w:rPr>
        <w:t>7</w:t>
      </w:r>
      <w:r w:rsidRPr="00602F11">
        <w:rPr>
          <w:b/>
        </w:rPr>
        <w:t xml:space="preserve"> – Fondi finalizzati</w:t>
      </w:r>
    </w:p>
    <w:p w:rsidR="0000596E" w:rsidRPr="00602F11" w:rsidRDefault="0000596E" w:rsidP="0000596E">
      <w:pPr>
        <w:numPr>
          <w:ilvl w:val="0"/>
          <w:numId w:val="29"/>
        </w:numPr>
        <w:jc w:val="both"/>
      </w:pPr>
      <w:r w:rsidRPr="00602F11">
        <w:t>I fondi finalizzati a specifiche attività possono essere impegnati solo per esse, a meno che non sia esplicitamente previsto che eventuali risparmi possano essere utilizzati per altri fini.</w:t>
      </w:r>
    </w:p>
    <w:p w:rsidR="0000596E" w:rsidRPr="00602F11" w:rsidRDefault="0000596E" w:rsidP="0000596E">
      <w:pPr>
        <w:pStyle w:val="Pa53"/>
        <w:numPr>
          <w:ilvl w:val="0"/>
          <w:numId w:val="29"/>
        </w:numPr>
        <w:spacing w:after="12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>Per il presente anno scolastico tali fondi sono pari a: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a) per le finalità già previste per il Fondo per l’Istituzione scolastica ai sensi dell’art. 88 del CCNL 29/11/2007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 xml:space="preserve">€ …………..; 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b) per i compensi per le ore eccedenti del personale insegnante di educazione fisica nell’avviamento alla pratica sportiva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 xml:space="preserve">€ …………..; 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c) per le funzioni strumentali al piano dell’offerta formativa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 xml:space="preserve">€ …………..; 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d) per gli incarichi specifici del personale ATA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 xml:space="preserve">€ …………..; 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e) per le misure incentivanti per progetti relativi alle aree a rischio, a forte processo immigratorio e contro l’emarginazione scolastica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 xml:space="preserve">€ …………..; 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f) per i compensi ore eccedenti per la sostituzione dei colleghi assenti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 xml:space="preserve">€ …………..; 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g) per la valorizzazione dei docenti, ai sensi dell’art. 1, commi da 126 a 128, della legge n. 107/2011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 xml:space="preserve">€ …………..; </w:t>
      </w:r>
    </w:p>
    <w:p w:rsidR="0000596E" w:rsidRPr="00602F11" w:rsidRDefault="0000596E" w:rsidP="0000596E">
      <w:pPr>
        <w:pStyle w:val="Default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h) per le finalità di cui all’art 1, comma 593 della legge n. 205/2017 </w:t>
      </w:r>
      <w:r w:rsidRPr="00602F11">
        <w:rPr>
          <w:rFonts w:ascii="Times New Roman" w:hAnsi="Times New Roman" w:cs="Times New Roman"/>
        </w:rPr>
        <w:tab/>
      </w:r>
      <w:r w:rsidRPr="00602F11">
        <w:rPr>
          <w:rFonts w:ascii="Times New Roman" w:hAnsi="Times New Roman" w:cs="Times New Roman"/>
        </w:rPr>
        <w:tab/>
        <w:t>€ …………...</w:t>
      </w:r>
    </w:p>
    <w:p w:rsidR="0000596E" w:rsidRPr="00602F11" w:rsidRDefault="0000596E" w:rsidP="0000596E">
      <w:pPr>
        <w:tabs>
          <w:tab w:val="left" w:pos="851"/>
        </w:tabs>
        <w:jc w:val="both"/>
      </w:pPr>
      <w:r w:rsidRPr="00602F11">
        <w:t>i) per IFTS</w:t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  <w:t>€ …………..</w:t>
      </w:r>
    </w:p>
    <w:p w:rsidR="0000596E" w:rsidRPr="00602F11" w:rsidRDefault="0000596E" w:rsidP="0000596E">
      <w:pPr>
        <w:tabs>
          <w:tab w:val="left" w:pos="851"/>
        </w:tabs>
        <w:jc w:val="both"/>
      </w:pPr>
      <w:r w:rsidRPr="00602F11">
        <w:t>j) per i progetti nazionali e comunitari (PON, POR, convenzioni, fondi delle famiglie…)</w:t>
      </w:r>
      <w:r w:rsidRPr="00602F11">
        <w:tab/>
      </w:r>
    </w:p>
    <w:p w:rsidR="0000596E" w:rsidRPr="00602F11" w:rsidRDefault="0000596E" w:rsidP="0000596E">
      <w:pPr>
        <w:tabs>
          <w:tab w:val="left" w:pos="851"/>
        </w:tabs>
        <w:jc w:val="both"/>
      </w:pPr>
      <w:r w:rsidRPr="00602F11">
        <w:t>k) per la formazione del personale</w:t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  <w:t>€ …………..</w:t>
      </w:r>
    </w:p>
    <w:p w:rsidR="0000596E" w:rsidRPr="00CF5ADE" w:rsidRDefault="0000596E" w:rsidP="0000596E">
      <w:pPr>
        <w:tabs>
          <w:tab w:val="left" w:pos="851"/>
        </w:tabs>
        <w:jc w:val="both"/>
      </w:pPr>
      <w:r w:rsidRPr="00602F11">
        <w:t xml:space="preserve">l) per l’alternanza scuola-lavoro </w:t>
      </w:r>
      <w:r w:rsidRPr="00602F11">
        <w:rPr>
          <w:i/>
          <w:color w:val="FF0000"/>
        </w:rPr>
        <w:t>[per la secondaria di secondo grado]</w:t>
      </w:r>
      <w:r w:rsidRPr="00602F11">
        <w:tab/>
      </w:r>
      <w:r w:rsidRPr="00602F11">
        <w:tab/>
        <w:t>€ …………..</w:t>
      </w:r>
    </w:p>
    <w:p w:rsidR="0000596E" w:rsidRPr="009B18BE" w:rsidRDefault="0000596E" w:rsidP="0000596E">
      <w:pPr>
        <w:pStyle w:val="Default"/>
        <w:jc w:val="both"/>
        <w:rPr>
          <w:rFonts w:ascii="Times New Roman" w:hAnsi="Times New Roman" w:cs="Times New Roman"/>
        </w:rPr>
      </w:pPr>
    </w:p>
    <w:p w:rsidR="0000596E" w:rsidRPr="009B18BE" w:rsidRDefault="0000596E" w:rsidP="0000596E">
      <w:pPr>
        <w:pStyle w:val="Default"/>
        <w:rPr>
          <w:rFonts w:ascii="Times New Roman" w:hAnsi="Times New Roman" w:cs="Times New Roman"/>
        </w:rPr>
      </w:pPr>
    </w:p>
    <w:p w:rsidR="0000596E" w:rsidRDefault="0000596E" w:rsidP="0000596E">
      <w:pPr>
        <w:tabs>
          <w:tab w:val="left" w:pos="851"/>
        </w:tabs>
        <w:ind w:left="851"/>
        <w:jc w:val="both"/>
      </w:pPr>
    </w:p>
    <w:p w:rsidR="0000596E" w:rsidRPr="00A13E00" w:rsidRDefault="0000596E" w:rsidP="0000596E">
      <w:pPr>
        <w:tabs>
          <w:tab w:val="left" w:pos="851"/>
        </w:tabs>
        <w:ind w:left="360"/>
        <w:jc w:val="both"/>
        <w:rPr>
          <w:highlight w:val="yellow"/>
        </w:rPr>
      </w:pPr>
    </w:p>
    <w:p w:rsidR="0000596E" w:rsidRDefault="0000596E" w:rsidP="0000596E">
      <w:pPr>
        <w:pStyle w:val="Default"/>
        <w:rPr>
          <w:rFonts w:ascii="Times New Roman" w:hAnsi="Times New Roman" w:cs="Times New Roman"/>
        </w:rPr>
      </w:pPr>
    </w:p>
    <w:p w:rsidR="0000596E" w:rsidRDefault="0000596E" w:rsidP="0000596E">
      <w:pPr>
        <w:pStyle w:val="Default"/>
        <w:rPr>
          <w:rFonts w:ascii="Times New Roman" w:hAnsi="Times New Roman" w:cs="Times New Roman"/>
        </w:rPr>
      </w:pPr>
    </w:p>
    <w:p w:rsidR="0000596E" w:rsidRDefault="0000596E" w:rsidP="0000596E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CAPO II – UTILIZZAZIONE DEL SALARIO ACCESSORIO</w:t>
      </w:r>
    </w:p>
    <w:p w:rsidR="0000596E" w:rsidRDefault="0000596E" w:rsidP="0000596E">
      <w:pPr>
        <w:pStyle w:val="Default"/>
        <w:jc w:val="center"/>
        <w:rPr>
          <w:rFonts w:ascii="Times New Roman" w:hAnsi="Times New Roman" w:cs="Times New Roman"/>
        </w:rPr>
      </w:pPr>
    </w:p>
    <w:p w:rsidR="0000596E" w:rsidRPr="00AF04A1" w:rsidRDefault="0000596E" w:rsidP="0000596E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AF04A1">
        <w:rPr>
          <w:rFonts w:ascii="Times New Roman" w:hAnsi="Times New Roman" w:cs="Times New Roman"/>
          <w:b/>
        </w:rPr>
        <w:t xml:space="preserve">Art. </w:t>
      </w:r>
      <w:r>
        <w:rPr>
          <w:rFonts w:ascii="Times New Roman" w:hAnsi="Times New Roman" w:cs="Times New Roman"/>
          <w:b/>
        </w:rPr>
        <w:t>8– Finalizzazione del salario accessorio</w:t>
      </w:r>
    </w:p>
    <w:p w:rsidR="0000596E" w:rsidRDefault="0000596E" w:rsidP="0000596E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Coerentemente con le previsioni di legge, le risorse del Fondo per il salario accessorio devono essere finalizzate a retribuire funzioni ed attività che incrementino la produttività e l’efficienza dell’istituzione scolastica, riconoscendo l’impegno individuale e i risultati conseguiti.</w:t>
      </w:r>
    </w:p>
    <w:p w:rsidR="0000596E" w:rsidRDefault="0000596E" w:rsidP="0000596E">
      <w:pPr>
        <w:pStyle w:val="Default"/>
        <w:rPr>
          <w:rFonts w:ascii="Times New Roman" w:hAnsi="Times New Roman" w:cs="Times New Roman"/>
        </w:rPr>
      </w:pPr>
    </w:p>
    <w:p w:rsidR="0000596E" w:rsidRPr="00602F11" w:rsidRDefault="0000596E" w:rsidP="0000596E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602F11">
        <w:rPr>
          <w:rFonts w:ascii="Times New Roman" w:hAnsi="Times New Roman" w:cs="Times New Roman"/>
          <w:b/>
        </w:rPr>
        <w:t xml:space="preserve">Art. </w:t>
      </w:r>
      <w:r>
        <w:rPr>
          <w:rFonts w:ascii="Times New Roman" w:hAnsi="Times New Roman" w:cs="Times New Roman"/>
          <w:b/>
          <w:color w:val="auto"/>
        </w:rPr>
        <w:t>9</w:t>
      </w:r>
      <w:r w:rsidRPr="00602F11">
        <w:rPr>
          <w:rFonts w:ascii="Times New Roman" w:hAnsi="Times New Roman" w:cs="Times New Roman"/>
          <w:b/>
        </w:rPr>
        <w:t xml:space="preserve"> – Criteri per la ripartizione del Fondo dell’istituzione scolastica</w:t>
      </w:r>
    </w:p>
    <w:p w:rsidR="0000596E" w:rsidRDefault="0000596E" w:rsidP="0000596E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>Le risorse del Fondo dell’istituzione scolastica, con esclusione di quelle di cui all’art. 15, sono suddivise tra le componenti professionali presenti nell’istituzione scolastica sulla base delle esigenze organizzative e didattiche che derivano dalle attività curricolari ed extracurricolari previste dal PTOF, nonché dal Piano annuale delle attività del personale docente e dal Piano annuale di attività del personale ATA. A tal fine sono assegnati per le attività del personale docente €………...….. e per le attività del personale ATA € ………………</w:t>
      </w:r>
    </w:p>
    <w:p w:rsidR="0000596E" w:rsidRPr="00602F11" w:rsidRDefault="0000596E" w:rsidP="0000596E">
      <w:pPr>
        <w:pStyle w:val="Defaul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ripartizione di cui al comma precedente può essere variata entro un margine di flessibilità pari a 1.000,00 in caso di esigenze derivanti dall’attuazione del PTOF.</w:t>
      </w:r>
    </w:p>
    <w:p w:rsidR="0000596E" w:rsidRPr="00602F11" w:rsidRDefault="0000596E" w:rsidP="0000596E">
      <w:pPr>
        <w:numPr>
          <w:ilvl w:val="0"/>
          <w:numId w:val="32"/>
        </w:numPr>
        <w:jc w:val="both"/>
      </w:pPr>
      <w:r w:rsidRPr="00602F11">
        <w:t>Le eventuali economie del Fondo confluiscono nel Fondo per la contrattazione integrativa dell’anno scolastico successivo.</w:t>
      </w:r>
    </w:p>
    <w:p w:rsidR="0000596E" w:rsidRPr="00602F11" w:rsidRDefault="0000596E" w:rsidP="0000596E">
      <w:pPr>
        <w:ind w:left="360"/>
        <w:jc w:val="both"/>
      </w:pPr>
    </w:p>
    <w:p w:rsidR="0000596E" w:rsidRPr="00602F11" w:rsidRDefault="0000596E" w:rsidP="0000596E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602F11">
        <w:rPr>
          <w:rFonts w:ascii="Times New Roman" w:hAnsi="Times New Roman" w:cs="Times New Roman"/>
          <w:b/>
        </w:rPr>
        <w:t xml:space="preserve">Art. </w:t>
      </w:r>
      <w:r>
        <w:rPr>
          <w:rFonts w:ascii="Times New Roman" w:hAnsi="Times New Roman" w:cs="Times New Roman"/>
          <w:b/>
          <w:color w:val="auto"/>
        </w:rPr>
        <w:t>10</w:t>
      </w:r>
      <w:r w:rsidRPr="00602F11">
        <w:rPr>
          <w:rFonts w:ascii="Times New Roman" w:hAnsi="Times New Roman" w:cs="Times New Roman"/>
          <w:b/>
        </w:rPr>
        <w:t xml:space="preserve"> – Criteri generali di ripartizione delle risorse per la formazione del personale</w:t>
      </w:r>
    </w:p>
    <w:p w:rsidR="0000596E" w:rsidRPr="00602F11" w:rsidRDefault="0000596E" w:rsidP="0000596E">
      <w:pPr>
        <w:pStyle w:val="Default"/>
        <w:numPr>
          <w:ilvl w:val="1"/>
          <w:numId w:val="30"/>
        </w:numPr>
        <w:tabs>
          <w:tab w:val="clear" w:pos="1440"/>
          <w:tab w:val="num" w:pos="360"/>
        </w:tabs>
        <w:ind w:left="360"/>
        <w:jc w:val="both"/>
        <w:rPr>
          <w:rFonts w:ascii="Times New Roman" w:hAnsi="Times New Roman" w:cs="Times New Roman"/>
        </w:rPr>
      </w:pPr>
      <w:r w:rsidRPr="00602F11">
        <w:rPr>
          <w:rFonts w:ascii="Times New Roman" w:hAnsi="Times New Roman" w:cs="Times New Roman"/>
        </w:rPr>
        <w:t xml:space="preserve">Le risorse per la formazione del personale, nel rispetto degli obiettivi e delle finalità definiti a livello nazionale con il Piano nazionale di formazione dei docenti, sono ripartiti sulla base delle esigenze di formazione del personale </w:t>
      </w:r>
      <w:r>
        <w:rPr>
          <w:rFonts w:ascii="Times New Roman" w:hAnsi="Times New Roman" w:cs="Times New Roman"/>
        </w:rPr>
        <w:t>in coerenza con il</w:t>
      </w:r>
      <w:r w:rsidRPr="00602F11">
        <w:rPr>
          <w:rFonts w:ascii="Times New Roman" w:hAnsi="Times New Roman" w:cs="Times New Roman"/>
        </w:rPr>
        <w:t xml:space="preserve"> PTOF. A tal fine sono assegnati per le attività del personale docente €………...….. e per le attività del personale ATA € ……………… In particolare sono assegnati per le attività del personale docente:</w:t>
      </w:r>
    </w:p>
    <w:p w:rsidR="0000596E" w:rsidRPr="00602F11" w:rsidRDefault="0000596E" w:rsidP="0000596E">
      <w:pPr>
        <w:numPr>
          <w:ilvl w:val="1"/>
          <w:numId w:val="31"/>
        </w:numPr>
        <w:tabs>
          <w:tab w:val="clear" w:pos="1440"/>
          <w:tab w:val="left" w:pos="851"/>
          <w:tab w:val="num" w:pos="927"/>
        </w:tabs>
        <w:ind w:left="927"/>
        <w:jc w:val="both"/>
      </w:pPr>
      <w:r w:rsidRPr="00602F11">
        <w:rPr>
          <w:i/>
          <w:color w:val="FF0000"/>
        </w:rPr>
        <w:t>[ad esempio]</w:t>
      </w:r>
      <w:r w:rsidRPr="00602F11">
        <w:t xml:space="preserve"> per la didattica per competenze: € ……………</w:t>
      </w:r>
    </w:p>
    <w:p w:rsidR="0000596E" w:rsidRPr="00602F11" w:rsidRDefault="0000596E" w:rsidP="0000596E">
      <w:pPr>
        <w:numPr>
          <w:ilvl w:val="1"/>
          <w:numId w:val="31"/>
        </w:numPr>
        <w:tabs>
          <w:tab w:val="clear" w:pos="1440"/>
          <w:tab w:val="left" w:pos="851"/>
          <w:tab w:val="num" w:pos="927"/>
        </w:tabs>
        <w:ind w:left="927"/>
        <w:jc w:val="both"/>
      </w:pPr>
      <w:r w:rsidRPr="00602F11">
        <w:rPr>
          <w:i/>
          <w:color w:val="FF0000"/>
        </w:rPr>
        <w:t>[ad esempio]</w:t>
      </w:r>
      <w:r w:rsidRPr="00602F11">
        <w:t xml:space="preserve"> per la valutazione per competenze: € ………………</w:t>
      </w:r>
    </w:p>
    <w:p w:rsidR="0000596E" w:rsidRPr="00602F11" w:rsidRDefault="0000596E" w:rsidP="0000596E">
      <w:pPr>
        <w:numPr>
          <w:ilvl w:val="1"/>
          <w:numId w:val="31"/>
        </w:numPr>
        <w:tabs>
          <w:tab w:val="clear" w:pos="1440"/>
          <w:tab w:val="left" w:pos="851"/>
          <w:tab w:val="num" w:pos="927"/>
        </w:tabs>
        <w:ind w:left="927"/>
        <w:jc w:val="both"/>
        <w:rPr>
          <w:i/>
          <w:color w:val="FF0000"/>
        </w:rPr>
      </w:pPr>
      <w:r w:rsidRPr="00602F11">
        <w:rPr>
          <w:i/>
          <w:color w:val="FF0000"/>
        </w:rPr>
        <w:t>[eccetera]</w:t>
      </w:r>
    </w:p>
    <w:p w:rsidR="0000596E" w:rsidRDefault="0000596E" w:rsidP="0000596E">
      <w:pPr>
        <w:pStyle w:val="Default"/>
        <w:ind w:left="360"/>
        <w:jc w:val="both"/>
        <w:rPr>
          <w:rFonts w:ascii="Times New Roman" w:hAnsi="Times New Roman" w:cs="Times New Roman"/>
          <w:highlight w:val="green"/>
        </w:rPr>
      </w:pPr>
    </w:p>
    <w:p w:rsidR="0000596E" w:rsidRPr="004F76DE" w:rsidRDefault="0000596E" w:rsidP="0000596E">
      <w:pPr>
        <w:jc w:val="both"/>
      </w:pPr>
    </w:p>
    <w:p w:rsidR="0000596E" w:rsidRPr="00DF42ED" w:rsidRDefault="0000596E" w:rsidP="0000596E">
      <w:pPr>
        <w:spacing w:line="360" w:lineRule="auto"/>
        <w:jc w:val="center"/>
        <w:rPr>
          <w:b/>
        </w:rPr>
      </w:pPr>
      <w:r w:rsidRPr="00DF42ED">
        <w:rPr>
          <w:b/>
        </w:rPr>
        <w:t>Art.</w:t>
      </w:r>
      <w:r>
        <w:rPr>
          <w:b/>
        </w:rPr>
        <w:t xml:space="preserve"> 11</w:t>
      </w:r>
      <w:r w:rsidRPr="00DF42ED">
        <w:rPr>
          <w:b/>
        </w:rPr>
        <w:t xml:space="preserve"> </w:t>
      </w:r>
      <w:r>
        <w:rPr>
          <w:b/>
        </w:rPr>
        <w:t>–</w:t>
      </w:r>
      <w:r w:rsidRPr="00DF42ED">
        <w:rPr>
          <w:b/>
        </w:rPr>
        <w:t xml:space="preserve"> Stanziamenti</w:t>
      </w:r>
    </w:p>
    <w:p w:rsidR="0000596E" w:rsidRPr="00602F11" w:rsidRDefault="0000596E" w:rsidP="0000596E">
      <w:pPr>
        <w:numPr>
          <w:ilvl w:val="0"/>
          <w:numId w:val="22"/>
        </w:numPr>
        <w:spacing w:after="120"/>
        <w:ind w:left="357" w:hanging="357"/>
        <w:jc w:val="both"/>
      </w:pPr>
      <w:r w:rsidRPr="00602F11">
        <w:t>Al fine di perseguire le finalità di cui all’articolo 21, sulla base della delibera del Consiglio d’istituto, di cui all’art. 88 del CCNL del comparto scuola 2006-2009 e del Piano annuale delle attività dei docenti, il fondo d’istituto destinato al personale docente è ripartito, come segue, tra le aree di attività di seguito specificate:</w:t>
      </w:r>
    </w:p>
    <w:p w:rsidR="0000596E" w:rsidRPr="00602F11" w:rsidRDefault="0000596E" w:rsidP="0000596E">
      <w:pPr>
        <w:numPr>
          <w:ilvl w:val="1"/>
          <w:numId w:val="23"/>
        </w:numPr>
        <w:tabs>
          <w:tab w:val="left" w:pos="851"/>
        </w:tabs>
        <w:ind w:left="851" w:hanging="284"/>
        <w:jc w:val="both"/>
      </w:pPr>
      <w:r w:rsidRPr="00602F11">
        <w:t xml:space="preserve">supporto alle attività organizzative (delegati del dirigente, figure di presidio ai plessi, comm. orario, comm. formazione classi, responsabile qualità ecc.): </w:t>
      </w:r>
      <w:r w:rsidRPr="00602F11">
        <w:tab/>
        <w:t>€ ……………</w:t>
      </w:r>
    </w:p>
    <w:p w:rsidR="0000596E" w:rsidRPr="00602F11" w:rsidRDefault="0000596E" w:rsidP="0000596E">
      <w:pPr>
        <w:numPr>
          <w:ilvl w:val="1"/>
          <w:numId w:val="23"/>
        </w:numPr>
        <w:tabs>
          <w:tab w:val="left" w:pos="851"/>
        </w:tabs>
        <w:ind w:left="851" w:hanging="284"/>
        <w:jc w:val="both"/>
      </w:pPr>
      <w:r w:rsidRPr="00602F11">
        <w:t xml:space="preserve">supporto alla didattica (coordinatori di classe, coordinatori di dipartimento, responsabili dei laboratori, responsabili di ricerca e sviluppo, gruppi di lavoro e di progetto ecc.):  </w:t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  <w:t>€ ………………</w:t>
      </w:r>
    </w:p>
    <w:p w:rsidR="0000596E" w:rsidRPr="00602F11" w:rsidRDefault="0000596E" w:rsidP="0000596E">
      <w:pPr>
        <w:numPr>
          <w:ilvl w:val="1"/>
          <w:numId w:val="23"/>
        </w:numPr>
        <w:tabs>
          <w:tab w:val="left" w:pos="851"/>
        </w:tabs>
        <w:ind w:left="851" w:hanging="284"/>
        <w:jc w:val="both"/>
      </w:pPr>
      <w:r w:rsidRPr="00602F11">
        <w:t xml:space="preserve">supporto all’organizzazione della didattica (responsabile orientamento, responsabile integrazione disabili, responsabile integrazione alunni stranieri, supporto psico-pedagogico, responsabile viaggi d’istruzione, attività di pre-scuola e post-scuola ecc.):   </w:t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  <w:t>€ ……………..</w:t>
      </w:r>
    </w:p>
    <w:p w:rsidR="0000596E" w:rsidRPr="00602F11" w:rsidRDefault="0000596E" w:rsidP="0000596E">
      <w:pPr>
        <w:numPr>
          <w:ilvl w:val="1"/>
          <w:numId w:val="23"/>
        </w:numPr>
        <w:tabs>
          <w:tab w:val="left" w:pos="851"/>
        </w:tabs>
        <w:ind w:left="851" w:hanging="284"/>
        <w:jc w:val="both"/>
      </w:pPr>
      <w:r w:rsidRPr="00602F11">
        <w:lastRenderedPageBreak/>
        <w:t>progetti e attività di arricchimento dell’offerta formativa non curricolare:€ ……………..</w:t>
      </w:r>
    </w:p>
    <w:p w:rsidR="0000596E" w:rsidRPr="00602F11" w:rsidRDefault="0000596E" w:rsidP="0000596E">
      <w:pPr>
        <w:numPr>
          <w:ilvl w:val="1"/>
          <w:numId w:val="23"/>
        </w:numPr>
        <w:tabs>
          <w:tab w:val="left" w:pos="851"/>
        </w:tabs>
        <w:ind w:left="851" w:hanging="284"/>
        <w:jc w:val="both"/>
      </w:pPr>
      <w:r w:rsidRPr="00602F11">
        <w:t xml:space="preserve">attività d’insegnamento (corsi di recupero, sportelli didattici, alfabetizzazione alunni stranieri, flessibilità oraria ecc): </w:t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</w:r>
      <w:r w:rsidRPr="00602F11">
        <w:tab/>
        <w:t>€ …………….</w:t>
      </w:r>
    </w:p>
    <w:p w:rsidR="0000596E" w:rsidRDefault="0000596E" w:rsidP="0000596E">
      <w:pPr>
        <w:numPr>
          <w:ilvl w:val="0"/>
          <w:numId w:val="22"/>
        </w:numPr>
        <w:spacing w:before="120" w:after="120"/>
        <w:ind w:left="357" w:hanging="357"/>
        <w:jc w:val="both"/>
      </w:pPr>
      <w:r>
        <w:t>Allo stesso fine</w:t>
      </w:r>
      <w:r w:rsidRPr="004F76DE">
        <w:t xml:space="preserve"> </w:t>
      </w:r>
      <w:r>
        <w:t xml:space="preserve">di cui al comma 1 </w:t>
      </w:r>
      <w:r w:rsidRPr="004F76DE">
        <w:t>vengono definit</w:t>
      </w:r>
      <w:r>
        <w:t>e le aree di attività riferite al personale ATA, a ciascuna delle quali vengono assegnate le risorse specificate:</w:t>
      </w:r>
    </w:p>
    <w:p w:rsidR="0000596E" w:rsidRDefault="0000596E" w:rsidP="0000596E">
      <w:pPr>
        <w:numPr>
          <w:ilvl w:val="1"/>
          <w:numId w:val="24"/>
        </w:numPr>
        <w:tabs>
          <w:tab w:val="left" w:pos="851"/>
        </w:tabs>
        <w:ind w:left="851" w:hanging="284"/>
        <w:jc w:val="both"/>
      </w:pPr>
      <w:r>
        <w:t xml:space="preserve">flessibilità oraria e ricorso alla turnazione: </w:t>
      </w:r>
      <w:r>
        <w:tab/>
      </w:r>
      <w:r>
        <w:tab/>
      </w:r>
      <w:r>
        <w:tab/>
      </w:r>
      <w:r>
        <w:tab/>
        <w:t xml:space="preserve"> € ………………</w:t>
      </w:r>
    </w:p>
    <w:p w:rsidR="0000596E" w:rsidRDefault="0000596E" w:rsidP="0000596E">
      <w:pPr>
        <w:numPr>
          <w:ilvl w:val="1"/>
          <w:numId w:val="24"/>
        </w:numPr>
        <w:tabs>
          <w:tab w:val="left" w:pos="851"/>
        </w:tabs>
        <w:ind w:left="851" w:hanging="284"/>
        <w:jc w:val="both"/>
      </w:pPr>
      <w:r>
        <w:t>intensificazione del carico di lavoro per sostituzione di colleghi assenti:  € ……………</w:t>
      </w:r>
    </w:p>
    <w:p w:rsidR="0000596E" w:rsidRPr="004F76DE" w:rsidRDefault="0000596E" w:rsidP="0000596E">
      <w:pPr>
        <w:numPr>
          <w:ilvl w:val="1"/>
          <w:numId w:val="24"/>
        </w:numPr>
        <w:tabs>
          <w:tab w:val="left" w:pos="851"/>
        </w:tabs>
        <w:ind w:left="851" w:hanging="284"/>
        <w:jc w:val="both"/>
      </w:pPr>
      <w:r>
        <w:t xml:space="preserve">assegnazione di incarichi a supporto dell’amministrazione o della didattica: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€ …………….</w:t>
      </w:r>
    </w:p>
    <w:p w:rsidR="0000596E" w:rsidRDefault="0000596E" w:rsidP="0000596E">
      <w:pPr>
        <w:numPr>
          <w:ilvl w:val="1"/>
          <w:numId w:val="24"/>
        </w:numPr>
        <w:tabs>
          <w:tab w:val="left" w:pos="851"/>
        </w:tabs>
        <w:ind w:left="851" w:hanging="284"/>
        <w:jc w:val="both"/>
      </w:pPr>
      <w:r>
        <w:t xml:space="preserve">monte ore eccedenti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€ ……………</w:t>
      </w:r>
    </w:p>
    <w:p w:rsidR="0000596E" w:rsidRPr="000B1E91" w:rsidRDefault="0000596E" w:rsidP="0000596E">
      <w:pPr>
        <w:numPr>
          <w:ilvl w:val="1"/>
          <w:numId w:val="24"/>
        </w:numPr>
        <w:tabs>
          <w:tab w:val="left" w:pos="851"/>
        </w:tabs>
        <w:ind w:left="851" w:hanging="284"/>
        <w:jc w:val="both"/>
        <w:rPr>
          <w:i/>
          <w:color w:val="FF0000"/>
        </w:rPr>
      </w:pPr>
      <w:r w:rsidRPr="000B1E91">
        <w:rPr>
          <w:i/>
          <w:color w:val="FF0000"/>
        </w:rPr>
        <w:t>[altro… ]</w:t>
      </w:r>
    </w:p>
    <w:p w:rsidR="0000596E" w:rsidRDefault="0000596E" w:rsidP="0000596E">
      <w:pPr>
        <w:tabs>
          <w:tab w:val="left" w:pos="851"/>
        </w:tabs>
        <w:jc w:val="both"/>
      </w:pPr>
    </w:p>
    <w:p w:rsidR="0000596E" w:rsidRDefault="0000596E" w:rsidP="0000596E">
      <w:pPr>
        <w:spacing w:after="120"/>
        <w:jc w:val="both"/>
      </w:pPr>
    </w:p>
    <w:p w:rsidR="0000596E" w:rsidRPr="00602F11" w:rsidRDefault="0000596E" w:rsidP="0000596E">
      <w:pPr>
        <w:jc w:val="center"/>
        <w:rPr>
          <w:b/>
          <w:bCs/>
        </w:rPr>
      </w:pPr>
      <w:r w:rsidRPr="00602F11">
        <w:rPr>
          <w:b/>
          <w:bCs/>
        </w:rPr>
        <w:t xml:space="preserve">Art. </w:t>
      </w:r>
      <w:r>
        <w:rPr>
          <w:b/>
          <w:bCs/>
        </w:rPr>
        <w:t>12</w:t>
      </w:r>
      <w:r w:rsidRPr="00602F11">
        <w:rPr>
          <w:b/>
          <w:bCs/>
        </w:rPr>
        <w:t xml:space="preserve"> – Criteri generali per la determinazione dei compensi finalizzati alla valorizzazione del personale docente</w:t>
      </w:r>
    </w:p>
    <w:p w:rsidR="0000596E" w:rsidRPr="00602F11" w:rsidRDefault="0000596E" w:rsidP="0000596E"/>
    <w:p w:rsidR="0000596E" w:rsidRPr="00602F11" w:rsidRDefault="0000596E" w:rsidP="0000596E">
      <w:pPr>
        <w:jc w:val="both"/>
      </w:pPr>
      <w:r w:rsidRPr="00602F11">
        <w:t xml:space="preserve">1. La professionalità del personale docente è valorizzata dal </w:t>
      </w:r>
      <w:r>
        <w:t>d</w:t>
      </w:r>
      <w:r w:rsidRPr="00602F11">
        <w:t>irigente scolastico in base ai criteri individuati dal comitato di valutazione dei docenti al fine della assegnazione del bonus annuale, ai sensi dell’art. 1, cc. 127 e 128, della legge 107/2015 nonché dell’art. 17, co. 1, lett. e-bis del d.lgs. 165/2001.</w:t>
      </w:r>
    </w:p>
    <w:p w:rsidR="0000596E" w:rsidRPr="00602F11" w:rsidRDefault="0000596E" w:rsidP="0000596E">
      <w:pPr>
        <w:jc w:val="both"/>
        <w:rPr>
          <w:i/>
          <w:iCs/>
          <w:color w:val="FF0000"/>
        </w:rPr>
      </w:pPr>
      <w:r w:rsidRPr="00602F11">
        <w:t xml:space="preserve">2. Le risorse finanziarie assegnate all’Istituzione scolastica per la valorizzazione del merito del personale docente per l’a.s. …  corrispondono a € ……………. </w:t>
      </w:r>
      <w:r w:rsidRPr="00602F11">
        <w:rPr>
          <w:i/>
          <w:iCs/>
          <w:color w:val="FF0000"/>
        </w:rPr>
        <w:t>[soltanto se la consistenza delle risorse è nota]</w:t>
      </w:r>
    </w:p>
    <w:p w:rsidR="0000596E" w:rsidRPr="00602F11" w:rsidRDefault="0000596E" w:rsidP="0000596E">
      <w:pPr>
        <w:jc w:val="both"/>
      </w:pPr>
      <w:r w:rsidRPr="00602F11">
        <w:t>3. I compensi finalizzati alla valorizzazione del personale docente sono determinati sulla base dei seguenti criteri generali ai sensi dell’art. 22, c. 4, punto c4 del C.C.N.L. comparto istruzione e ricerca 2016-2018:</w:t>
      </w:r>
    </w:p>
    <w:p w:rsidR="0000596E" w:rsidRPr="00602F11" w:rsidRDefault="0000596E" w:rsidP="0000596E">
      <w:pPr>
        <w:ind w:left="708"/>
        <w:jc w:val="both"/>
      </w:pPr>
      <w:r w:rsidRPr="00602F11">
        <w:t xml:space="preserve">- il compenso più basso non potrà essere inferiore a … euro, quello più alto non potrà essere superiore a … euro; </w:t>
      </w:r>
    </w:p>
    <w:p w:rsidR="0000596E" w:rsidRPr="00602F11" w:rsidRDefault="0000596E" w:rsidP="0000596E">
      <w:pPr>
        <w:rPr>
          <w:i/>
          <w:iCs/>
          <w:color w:val="FF0000"/>
        </w:rPr>
      </w:pPr>
      <w:r w:rsidRPr="00602F11">
        <w:rPr>
          <w:i/>
          <w:iCs/>
          <w:color w:val="FF0000"/>
        </w:rPr>
        <w:t>[OPPURE]</w:t>
      </w:r>
    </w:p>
    <w:p w:rsidR="0000596E" w:rsidRPr="00602F11" w:rsidRDefault="0000596E" w:rsidP="0000596E">
      <w:pPr>
        <w:numPr>
          <w:ilvl w:val="0"/>
          <w:numId w:val="45"/>
        </w:numPr>
        <w:spacing w:after="160" w:line="252" w:lineRule="auto"/>
        <w:contextualSpacing/>
        <w:jc w:val="both"/>
        <w:rPr>
          <w:i/>
          <w:iCs/>
          <w:color w:val="FF0000"/>
        </w:rPr>
      </w:pPr>
      <w:r w:rsidRPr="00602F11">
        <w:t>gli importi dei compensi che il dirigente può assegnare sono due;</w:t>
      </w:r>
    </w:p>
    <w:p w:rsidR="0000596E" w:rsidRPr="00602F11" w:rsidRDefault="0000596E" w:rsidP="0000596E">
      <w:pPr>
        <w:numPr>
          <w:ilvl w:val="0"/>
          <w:numId w:val="45"/>
        </w:numPr>
        <w:spacing w:after="160" w:line="252" w:lineRule="auto"/>
        <w:contextualSpacing/>
        <w:jc w:val="both"/>
        <w:rPr>
          <w:i/>
          <w:iCs/>
          <w:color w:val="FF0000"/>
        </w:rPr>
      </w:pPr>
      <w:r w:rsidRPr="00602F11">
        <w:t>tra l’importo del secondo compenso e quello di base deve esserci una differenza percentuale non inferiore a X% e non superiore a Y%;</w:t>
      </w:r>
    </w:p>
    <w:p w:rsidR="0000596E" w:rsidRPr="00602F11" w:rsidRDefault="0000596E" w:rsidP="0000596E">
      <w:pPr>
        <w:numPr>
          <w:ilvl w:val="0"/>
          <w:numId w:val="45"/>
        </w:numPr>
        <w:spacing w:after="160" w:line="252" w:lineRule="auto"/>
        <w:contextualSpacing/>
        <w:jc w:val="both"/>
        <w:rPr>
          <w:i/>
          <w:iCs/>
          <w:color w:val="FF0000"/>
        </w:rPr>
      </w:pPr>
      <w:r w:rsidRPr="00602F11">
        <w:rPr>
          <w:i/>
          <w:iCs/>
          <w:color w:val="FF0000"/>
        </w:rPr>
        <w:t xml:space="preserve">[Esempio: X= 40%, Y=60%; se il </w:t>
      </w:r>
      <w:r>
        <w:rPr>
          <w:i/>
          <w:iCs/>
          <w:color w:val="FF0000"/>
        </w:rPr>
        <w:t>d</w:t>
      </w:r>
      <w:r w:rsidRPr="00602F11">
        <w:rPr>
          <w:i/>
          <w:iCs/>
          <w:color w:val="FF0000"/>
        </w:rPr>
        <w:t>irigente decide che l’importo base è 1.000 euro, allora il secondo importo è compreso tra 1.400 e 1.600 euro]</w:t>
      </w:r>
    </w:p>
    <w:p w:rsidR="0000596E" w:rsidRPr="00602F11" w:rsidRDefault="0000596E" w:rsidP="0000596E">
      <w:pPr>
        <w:rPr>
          <w:i/>
          <w:iCs/>
          <w:color w:val="FF0000"/>
        </w:rPr>
      </w:pPr>
    </w:p>
    <w:p w:rsidR="0000596E" w:rsidRPr="00602F11" w:rsidRDefault="0000596E" w:rsidP="0000596E">
      <w:pPr>
        <w:rPr>
          <w:i/>
          <w:iCs/>
          <w:color w:val="FF0000"/>
        </w:rPr>
      </w:pPr>
      <w:r w:rsidRPr="00602F11">
        <w:rPr>
          <w:i/>
          <w:iCs/>
          <w:color w:val="FF0000"/>
        </w:rPr>
        <w:t>[OPPURE]</w:t>
      </w:r>
    </w:p>
    <w:p w:rsidR="0000596E" w:rsidRPr="00602F11" w:rsidRDefault="0000596E" w:rsidP="0000596E">
      <w:pPr>
        <w:numPr>
          <w:ilvl w:val="0"/>
          <w:numId w:val="45"/>
        </w:numPr>
        <w:spacing w:after="160" w:line="252" w:lineRule="auto"/>
        <w:contextualSpacing/>
        <w:jc w:val="both"/>
        <w:rPr>
          <w:i/>
          <w:iCs/>
          <w:color w:val="FF0000"/>
        </w:rPr>
      </w:pPr>
      <w:r w:rsidRPr="00602F11">
        <w:t>gli importi dei compensi che il dirigente può assegnare sono tre;</w:t>
      </w:r>
    </w:p>
    <w:p w:rsidR="0000596E" w:rsidRPr="00602F11" w:rsidRDefault="0000596E" w:rsidP="0000596E">
      <w:pPr>
        <w:numPr>
          <w:ilvl w:val="0"/>
          <w:numId w:val="45"/>
        </w:numPr>
        <w:spacing w:after="160" w:line="252" w:lineRule="auto"/>
        <w:contextualSpacing/>
        <w:jc w:val="both"/>
        <w:rPr>
          <w:i/>
          <w:iCs/>
          <w:color w:val="FF0000"/>
        </w:rPr>
      </w:pPr>
      <w:r w:rsidRPr="00602F11">
        <w:t>tra l’importo del secondo compenso e quello di base deve esserci una differenza percentuale non inferiore a X% e non superiore a Y%;</w:t>
      </w:r>
    </w:p>
    <w:p w:rsidR="0000596E" w:rsidRPr="00602F11" w:rsidRDefault="0000596E" w:rsidP="0000596E">
      <w:pPr>
        <w:numPr>
          <w:ilvl w:val="0"/>
          <w:numId w:val="45"/>
        </w:numPr>
        <w:spacing w:after="160" w:line="252" w:lineRule="auto"/>
        <w:contextualSpacing/>
        <w:jc w:val="both"/>
        <w:rPr>
          <w:i/>
          <w:iCs/>
          <w:color w:val="FF0000"/>
        </w:rPr>
      </w:pPr>
      <w:r w:rsidRPr="00602F11">
        <w:t>tra l’importo del terzo compenso e quello di base deve esserci una differenza percentuale non inferiore a Z% e non superiore a W%</w:t>
      </w:r>
    </w:p>
    <w:p w:rsidR="0000596E" w:rsidRPr="00602F11" w:rsidRDefault="0000596E" w:rsidP="0000596E">
      <w:pPr>
        <w:numPr>
          <w:ilvl w:val="0"/>
          <w:numId w:val="45"/>
        </w:numPr>
        <w:spacing w:after="160" w:line="252" w:lineRule="auto"/>
        <w:contextualSpacing/>
        <w:jc w:val="both"/>
        <w:rPr>
          <w:i/>
          <w:iCs/>
          <w:color w:val="FF0000"/>
        </w:rPr>
      </w:pPr>
      <w:r w:rsidRPr="00602F11">
        <w:rPr>
          <w:i/>
          <w:iCs/>
          <w:color w:val="FF0000"/>
        </w:rPr>
        <w:t xml:space="preserve">[Esempio: X= 30%, Y=40%; Z=65%, W=75%; se il </w:t>
      </w:r>
      <w:r>
        <w:rPr>
          <w:i/>
          <w:iCs/>
          <w:color w:val="FF0000"/>
        </w:rPr>
        <w:t>d</w:t>
      </w:r>
      <w:r w:rsidRPr="00602F11">
        <w:rPr>
          <w:i/>
          <w:iCs/>
          <w:color w:val="FF0000"/>
        </w:rPr>
        <w:t>irigente decide che l’importo base è 1.000 euro, allora il secondo importo è compreso tra 1.300 e 1.400 euro; il terzo importo è compreso tra 1.650 e 1.750 euro]</w:t>
      </w:r>
    </w:p>
    <w:p w:rsidR="0000596E" w:rsidRPr="00602F11" w:rsidRDefault="0000596E" w:rsidP="0000596E">
      <w:pPr>
        <w:rPr>
          <w:i/>
          <w:iCs/>
          <w:color w:val="FF0000"/>
        </w:rPr>
      </w:pPr>
    </w:p>
    <w:p w:rsidR="0000596E" w:rsidRPr="00654324" w:rsidRDefault="0000596E" w:rsidP="0000596E">
      <w:pPr>
        <w:rPr>
          <w:i/>
          <w:iCs/>
          <w:color w:val="FF0000"/>
        </w:rPr>
      </w:pPr>
      <w:r w:rsidRPr="00602F11">
        <w:rPr>
          <w:i/>
          <w:iCs/>
          <w:color w:val="FF0000"/>
        </w:rPr>
        <w:t>[ECC. quattro compensi...]</w:t>
      </w:r>
    </w:p>
    <w:p w:rsidR="0000596E" w:rsidRDefault="0000596E" w:rsidP="0000596E">
      <w:pPr>
        <w:spacing w:after="120"/>
        <w:ind w:left="360"/>
        <w:jc w:val="both"/>
      </w:pPr>
    </w:p>
    <w:p w:rsidR="0000596E" w:rsidRPr="004F76DE" w:rsidRDefault="0000596E" w:rsidP="0000596E">
      <w:pPr>
        <w:spacing w:after="120"/>
        <w:jc w:val="both"/>
      </w:pPr>
    </w:p>
    <w:p w:rsidR="0000596E" w:rsidRPr="00AC1302" w:rsidRDefault="0000596E" w:rsidP="0000596E">
      <w:pPr>
        <w:spacing w:line="360" w:lineRule="auto"/>
        <w:jc w:val="center"/>
        <w:rPr>
          <w:b/>
        </w:rPr>
      </w:pPr>
      <w:r w:rsidRPr="00AC1302">
        <w:rPr>
          <w:b/>
        </w:rPr>
        <w:lastRenderedPageBreak/>
        <w:t>Art.</w:t>
      </w:r>
      <w:r>
        <w:rPr>
          <w:b/>
        </w:rPr>
        <w:t xml:space="preserve"> </w:t>
      </w:r>
      <w:r w:rsidR="00B3792A">
        <w:rPr>
          <w:b/>
        </w:rPr>
        <w:t>13</w:t>
      </w:r>
      <w:r w:rsidRPr="00AC1302">
        <w:rPr>
          <w:b/>
        </w:rPr>
        <w:t xml:space="preserve"> -</w:t>
      </w:r>
      <w:r>
        <w:rPr>
          <w:b/>
        </w:rPr>
        <w:t xml:space="preserve"> </w:t>
      </w:r>
      <w:r w:rsidRPr="00AC1302">
        <w:rPr>
          <w:b/>
        </w:rPr>
        <w:t>Conferimento degli incarichi</w:t>
      </w:r>
    </w:p>
    <w:p w:rsidR="0000596E" w:rsidRPr="00F625E7" w:rsidRDefault="0000596E" w:rsidP="0000596E">
      <w:pPr>
        <w:pStyle w:val="Default"/>
        <w:numPr>
          <w:ilvl w:val="0"/>
          <w:numId w:val="34"/>
        </w:numPr>
        <w:rPr>
          <w:rFonts w:ascii="Times New Roman" w:eastAsia="Euro Sans" w:hAnsi="Times New Roman" w:cs="Times New Roman"/>
        </w:rPr>
      </w:pPr>
      <w:r w:rsidRPr="00F625E7">
        <w:rPr>
          <w:rFonts w:ascii="Times New Roman" w:eastAsia="Euro Sans" w:hAnsi="Times New Roman" w:cs="Times New Roman"/>
        </w:rPr>
        <w:t xml:space="preserve">Il </w:t>
      </w:r>
      <w:r>
        <w:rPr>
          <w:rFonts w:ascii="Times New Roman" w:eastAsia="Euro Sans" w:hAnsi="Times New Roman" w:cs="Times New Roman"/>
        </w:rPr>
        <w:t>d</w:t>
      </w:r>
      <w:r w:rsidRPr="00F625E7">
        <w:rPr>
          <w:rFonts w:ascii="Times New Roman" w:eastAsia="Euro Sans" w:hAnsi="Times New Roman" w:cs="Times New Roman"/>
        </w:rPr>
        <w:t>irigente conferisce individualmente e in forma scritta gli incarichi relativi allo svolgimento di attività aggiuntive retribuite con il salario accessorio.</w:t>
      </w:r>
    </w:p>
    <w:p w:rsidR="0000596E" w:rsidRPr="00F625E7" w:rsidRDefault="0000596E" w:rsidP="0000596E">
      <w:pPr>
        <w:pStyle w:val="Default"/>
        <w:numPr>
          <w:ilvl w:val="0"/>
          <w:numId w:val="34"/>
        </w:numPr>
        <w:rPr>
          <w:rFonts w:ascii="Times New Roman" w:eastAsia="Euro Sans" w:hAnsi="Times New Roman" w:cs="Times New Roman"/>
        </w:rPr>
      </w:pPr>
      <w:r w:rsidRPr="00F625E7">
        <w:rPr>
          <w:rFonts w:ascii="Times New Roman" w:eastAsia="Euro Sans" w:hAnsi="Times New Roman" w:cs="Times New Roman"/>
        </w:rPr>
        <w:t>Nell’atto di conferimento dell’incarico sono indicati, oltre ai compiti e agli obiettivi assegnati, anche il compenso spettante e i termini del pagamento.</w:t>
      </w:r>
    </w:p>
    <w:p w:rsidR="0000596E" w:rsidRPr="003575D6" w:rsidRDefault="0000596E" w:rsidP="0000596E">
      <w:pPr>
        <w:pStyle w:val="Default"/>
        <w:numPr>
          <w:ilvl w:val="0"/>
          <w:numId w:val="34"/>
        </w:numPr>
        <w:rPr>
          <w:rFonts w:ascii="Times New Roman" w:eastAsia="Euro Sans" w:hAnsi="Times New Roman" w:cs="Times New Roman"/>
        </w:rPr>
      </w:pPr>
      <w:r>
        <w:rPr>
          <w:rFonts w:ascii="Times New Roman" w:eastAsia="Euro Sans" w:hAnsi="Times New Roman" w:cs="Times New Roman"/>
        </w:rPr>
        <w:t>La liquidazione dei compensi sarà successiva alla verifica dell’effettivo svolgimento dei compiti assegnati e alla valutazione dei risultati conseguiti.</w:t>
      </w:r>
    </w:p>
    <w:p w:rsidR="0000596E" w:rsidRPr="00607B46" w:rsidRDefault="0000596E" w:rsidP="0000596E">
      <w:pPr>
        <w:jc w:val="both"/>
        <w:rPr>
          <w:iCs/>
        </w:rPr>
      </w:pPr>
    </w:p>
    <w:p w:rsidR="0000596E" w:rsidRPr="004F76DE" w:rsidRDefault="0000596E" w:rsidP="0000596E">
      <w:pPr>
        <w:jc w:val="center"/>
      </w:pPr>
    </w:p>
    <w:p w:rsidR="0000596E" w:rsidRPr="00ED7EBF" w:rsidRDefault="0000596E" w:rsidP="0000596E">
      <w:pPr>
        <w:spacing w:line="360" w:lineRule="auto"/>
        <w:jc w:val="center"/>
        <w:rPr>
          <w:b/>
        </w:rPr>
      </w:pPr>
      <w:r w:rsidRPr="00ED7EBF">
        <w:rPr>
          <w:b/>
        </w:rPr>
        <w:t>Art.</w:t>
      </w:r>
      <w:r>
        <w:rPr>
          <w:b/>
        </w:rPr>
        <w:t xml:space="preserve"> </w:t>
      </w:r>
      <w:r w:rsidR="00B3792A">
        <w:rPr>
          <w:b/>
        </w:rPr>
        <w:t>14</w:t>
      </w:r>
      <w:r w:rsidRPr="00ED7EBF">
        <w:rPr>
          <w:b/>
        </w:rPr>
        <w:t xml:space="preserve"> - Quantificazione delle attività aggiuntive</w:t>
      </w:r>
      <w:r>
        <w:rPr>
          <w:b/>
        </w:rPr>
        <w:t xml:space="preserve"> per il personale ATA</w:t>
      </w:r>
    </w:p>
    <w:p w:rsidR="0000596E" w:rsidRDefault="0000596E" w:rsidP="0000596E">
      <w:pPr>
        <w:numPr>
          <w:ilvl w:val="0"/>
          <w:numId w:val="35"/>
        </w:numPr>
        <w:jc w:val="both"/>
      </w:pPr>
      <w:r w:rsidRPr="004F76DE">
        <w:t>Le attività aggiuntive</w:t>
      </w:r>
      <w:r>
        <w:t>,</w:t>
      </w:r>
      <w:r w:rsidRPr="004F76DE">
        <w:t xml:space="preserve"> svolte nell’ambito dell’orario d’obbligo nella forma di intensificazione della prestazione, </w:t>
      </w:r>
      <w:r>
        <w:t>sono</w:t>
      </w:r>
      <w:r w:rsidRPr="004F76DE">
        <w:t xml:space="preserve"> riportate ad unità orarie ai fini della liquidazione dei compensi</w:t>
      </w:r>
      <w:r>
        <w:t>.</w:t>
      </w:r>
    </w:p>
    <w:p w:rsidR="0000596E" w:rsidRDefault="0000596E" w:rsidP="0000596E">
      <w:pPr>
        <w:numPr>
          <w:ilvl w:val="0"/>
          <w:numId w:val="35"/>
        </w:numPr>
        <w:jc w:val="both"/>
      </w:pPr>
      <w:r>
        <w:t xml:space="preserve">Le sole prestazioni del personale ATA </w:t>
      </w:r>
      <w:r w:rsidRPr="008B3ED8">
        <w:t>rese in aggiunta all’orario d’obbligo</w:t>
      </w:r>
      <w:r>
        <w:t xml:space="preserve">, in alternativa al ricorso al Fondo per il salario accessorio, possono essere remunerate con </w:t>
      </w:r>
      <w:r w:rsidRPr="004F76DE">
        <w:t>recuperi compensativi</w:t>
      </w:r>
      <w:r>
        <w:t>, fino ad un massimo di giorni ….., compatibilmente con le esigenze di servizio</w:t>
      </w:r>
      <w:r w:rsidRPr="004F76DE">
        <w:t>.</w:t>
      </w:r>
    </w:p>
    <w:p w:rsidR="0000596E" w:rsidRPr="00607B46" w:rsidRDefault="0000596E" w:rsidP="0000596E">
      <w:pPr>
        <w:pStyle w:val="Default"/>
        <w:rPr>
          <w:rFonts w:ascii="Times New Roman" w:eastAsia="Euro Sans" w:hAnsi="Times New Roman" w:cs="Times New Roman"/>
        </w:rPr>
      </w:pPr>
    </w:p>
    <w:p w:rsidR="0000596E" w:rsidRPr="00ED7EBF" w:rsidRDefault="0000596E" w:rsidP="0000596E">
      <w:pPr>
        <w:keepNext/>
        <w:spacing w:line="360" w:lineRule="auto"/>
        <w:jc w:val="center"/>
        <w:rPr>
          <w:b/>
        </w:rPr>
      </w:pPr>
      <w:r w:rsidRPr="00ED7EBF">
        <w:rPr>
          <w:b/>
        </w:rPr>
        <w:t>Art.</w:t>
      </w:r>
      <w:r>
        <w:rPr>
          <w:b/>
        </w:rPr>
        <w:t xml:space="preserve"> </w:t>
      </w:r>
      <w:r w:rsidR="00B3792A">
        <w:rPr>
          <w:b/>
        </w:rPr>
        <w:t>15</w:t>
      </w:r>
      <w:r w:rsidRPr="00ED7EBF">
        <w:rPr>
          <w:b/>
        </w:rPr>
        <w:t xml:space="preserve"> - Incarichi specifici</w:t>
      </w:r>
    </w:p>
    <w:p w:rsidR="0000596E" w:rsidRPr="00602F11" w:rsidRDefault="0000596E" w:rsidP="0000596E">
      <w:pPr>
        <w:pStyle w:val="Corpodeltesto3"/>
        <w:numPr>
          <w:ilvl w:val="0"/>
          <w:numId w:val="36"/>
        </w:numPr>
        <w:rPr>
          <w:szCs w:val="24"/>
        </w:rPr>
      </w:pPr>
      <w:r w:rsidRPr="00602F11">
        <w:rPr>
          <w:szCs w:val="24"/>
        </w:rPr>
        <w:t xml:space="preserve">Su proposta del DSGA, il </w:t>
      </w:r>
      <w:r>
        <w:rPr>
          <w:szCs w:val="24"/>
        </w:rPr>
        <w:t>d</w:t>
      </w:r>
      <w:r w:rsidRPr="00602F11">
        <w:rPr>
          <w:szCs w:val="24"/>
        </w:rPr>
        <w:t>irigente stabilisce il numero e la natura degli incarichi specifici di cui all’art. 47, comma 1, lettera b) del CCNL del comparto scuola 2006-2009 da attivare nella istituzione scolastica.</w:t>
      </w:r>
    </w:p>
    <w:p w:rsidR="0000596E" w:rsidRPr="00602F11" w:rsidRDefault="0000596E" w:rsidP="0000596E">
      <w:pPr>
        <w:numPr>
          <w:ilvl w:val="0"/>
          <w:numId w:val="36"/>
        </w:numPr>
        <w:spacing w:before="120" w:after="120"/>
        <w:ind w:left="357" w:hanging="357"/>
        <w:jc w:val="both"/>
        <w:rPr>
          <w:rFonts w:eastAsia="MS Mincho"/>
        </w:rPr>
      </w:pPr>
      <w:r w:rsidRPr="00602F11">
        <w:rPr>
          <w:rFonts w:eastAsia="Euro Sans"/>
        </w:rPr>
        <w:t>Le risorse disponibili per compensare gli incarichi specifici sono destinate per l’80% a corrispondere un compenso base, così fissato:</w:t>
      </w:r>
    </w:p>
    <w:p w:rsidR="0000596E" w:rsidRPr="00602F11" w:rsidRDefault="0000596E" w:rsidP="0000596E">
      <w:pPr>
        <w:numPr>
          <w:ilvl w:val="0"/>
          <w:numId w:val="37"/>
        </w:numPr>
        <w:ind w:hanging="256"/>
        <w:jc w:val="both"/>
      </w:pPr>
      <w:r w:rsidRPr="00602F11">
        <w:t>€ ……………. per n. …… unità di personale tecnico</w:t>
      </w:r>
    </w:p>
    <w:p w:rsidR="0000596E" w:rsidRPr="00602F11" w:rsidRDefault="0000596E" w:rsidP="0000596E">
      <w:pPr>
        <w:numPr>
          <w:ilvl w:val="0"/>
          <w:numId w:val="37"/>
        </w:numPr>
        <w:ind w:hanging="256"/>
        <w:jc w:val="both"/>
      </w:pPr>
      <w:r w:rsidRPr="00602F11">
        <w:t>€ ……………. per n. …… unità di personale amministrativo</w:t>
      </w:r>
    </w:p>
    <w:p w:rsidR="0000596E" w:rsidRPr="00602F11" w:rsidRDefault="0000596E" w:rsidP="0000596E">
      <w:pPr>
        <w:numPr>
          <w:ilvl w:val="0"/>
          <w:numId w:val="37"/>
        </w:numPr>
        <w:ind w:hanging="256"/>
        <w:jc w:val="both"/>
      </w:pPr>
      <w:r w:rsidRPr="00602F11">
        <w:t xml:space="preserve">€ ……………. per n. …… unità di collaboratori scolastici </w:t>
      </w:r>
    </w:p>
    <w:p w:rsidR="0000596E" w:rsidRDefault="0000596E" w:rsidP="0000596E">
      <w:pPr>
        <w:spacing w:before="120"/>
        <w:ind w:left="425"/>
        <w:jc w:val="both"/>
        <w:rPr>
          <w:rFonts w:eastAsia="Euro Sans"/>
        </w:rPr>
      </w:pPr>
      <w:r w:rsidRPr="00602F11">
        <w:rPr>
          <w:rFonts w:eastAsia="Euro Sans"/>
        </w:rPr>
        <w:t xml:space="preserve">Il rimanente 20% è destinato a riconoscere la particolare complessità di singoli incarichi, con decisione assunta dal </w:t>
      </w:r>
      <w:r>
        <w:rPr>
          <w:rFonts w:eastAsia="Euro Sans"/>
        </w:rPr>
        <w:t>d</w:t>
      </w:r>
      <w:r w:rsidRPr="00602F11">
        <w:rPr>
          <w:rFonts w:eastAsia="Euro Sans"/>
        </w:rPr>
        <w:t>irigente, su proposta del DSGA.</w:t>
      </w:r>
    </w:p>
    <w:p w:rsidR="0000596E" w:rsidRDefault="0000596E" w:rsidP="0000596E">
      <w:pPr>
        <w:ind w:firstLine="360"/>
        <w:jc w:val="both"/>
        <w:rPr>
          <w:rFonts w:eastAsia="Euro Sans"/>
        </w:rPr>
      </w:pPr>
    </w:p>
    <w:p w:rsidR="0000596E" w:rsidRPr="00915F35" w:rsidRDefault="0000596E" w:rsidP="0000596E">
      <w:pPr>
        <w:ind w:firstLine="360"/>
        <w:jc w:val="both"/>
        <w:rPr>
          <w:rFonts w:eastAsia="Euro Sans"/>
        </w:rPr>
      </w:pPr>
    </w:p>
    <w:p w:rsidR="0000596E" w:rsidRDefault="0000596E" w:rsidP="0000596E">
      <w:pPr>
        <w:jc w:val="center"/>
        <w:rPr>
          <w:b/>
        </w:rPr>
      </w:pPr>
      <w:r>
        <w:rPr>
          <w:b/>
        </w:rPr>
        <w:t>TITOLO SESTO – ATTUAZIONE DELLA NORMATIVA IN MATERIA DI SICUREZZA NEI LUOGHI DI LAVORO</w:t>
      </w:r>
    </w:p>
    <w:p w:rsidR="0000596E" w:rsidRDefault="0000596E" w:rsidP="0000596E">
      <w:pPr>
        <w:jc w:val="center"/>
        <w:rPr>
          <w:b/>
        </w:rPr>
      </w:pPr>
    </w:p>
    <w:p w:rsidR="0000596E" w:rsidRDefault="0000596E" w:rsidP="0000596E">
      <w:pPr>
        <w:spacing w:line="360" w:lineRule="auto"/>
        <w:jc w:val="center"/>
        <w:rPr>
          <w:b/>
        </w:rPr>
      </w:pPr>
      <w:r>
        <w:rPr>
          <w:b/>
        </w:rPr>
        <w:t xml:space="preserve">Art. </w:t>
      </w:r>
      <w:r w:rsidR="00B3792A">
        <w:rPr>
          <w:b/>
        </w:rPr>
        <w:t>16</w:t>
      </w:r>
      <w:r>
        <w:rPr>
          <w:b/>
        </w:rPr>
        <w:t xml:space="preserve"> - Il rappresentante dei lavoratori per la sicurezza (RLS)</w:t>
      </w:r>
    </w:p>
    <w:p w:rsidR="0000596E" w:rsidRDefault="0000596E" w:rsidP="0000596E">
      <w:pPr>
        <w:numPr>
          <w:ilvl w:val="0"/>
          <w:numId w:val="38"/>
        </w:numPr>
        <w:jc w:val="both"/>
      </w:pPr>
      <w:r>
        <w:t>Il RLS è designato dalla RSU al suo interno o tra il personale dell’istituto che sia disponibile e possieda le necessarie competenze.</w:t>
      </w:r>
    </w:p>
    <w:p w:rsidR="0000596E" w:rsidRDefault="0000596E" w:rsidP="0000596E">
      <w:pPr>
        <w:numPr>
          <w:ilvl w:val="0"/>
          <w:numId w:val="38"/>
        </w:numPr>
        <w:jc w:val="both"/>
      </w:pPr>
      <w:r>
        <w:t>Al RLS è garantito il diritto all’informazione per quanto riguarda tutti gli atti che afferiscono al Sistema di prevenzione e di protezione dell’istituto.</w:t>
      </w:r>
    </w:p>
    <w:p w:rsidR="0000596E" w:rsidRDefault="0000596E" w:rsidP="0000596E">
      <w:pPr>
        <w:numPr>
          <w:ilvl w:val="0"/>
          <w:numId w:val="38"/>
        </w:numPr>
        <w:jc w:val="both"/>
      </w:pPr>
      <w:r>
        <w:t>Al RLS viene assicurato il diritto alla formazione attraverso l’opportunità di frequentare un corso di aggiornamento specifico.</w:t>
      </w:r>
    </w:p>
    <w:p w:rsidR="0000596E" w:rsidRDefault="0000596E" w:rsidP="0000596E">
      <w:pPr>
        <w:numPr>
          <w:ilvl w:val="0"/>
          <w:numId w:val="38"/>
        </w:numPr>
        <w:jc w:val="both"/>
      </w:pPr>
      <w:r>
        <w:t>Il RLS può accedere liberamente ai plessi per verificare le condizioni di sicurezza degli ambienti di lavoro e presentare osservazioni e proposte in merito.</w:t>
      </w:r>
    </w:p>
    <w:p w:rsidR="0000596E" w:rsidRPr="00602F11" w:rsidRDefault="0000596E" w:rsidP="0000596E">
      <w:pPr>
        <w:numPr>
          <w:ilvl w:val="0"/>
          <w:numId w:val="38"/>
        </w:numPr>
        <w:jc w:val="both"/>
      </w:pPr>
      <w:r w:rsidRPr="00602F11">
        <w:t>Il RLS gode dei diritti sindacali e della facoltà di usufruire dei permessi retribuiti, secondo quanto stabilito nell’art. 73 del CCNL del comparto scuola 2006-2009 e dalle norme successive, ai quali si rimanda.</w:t>
      </w:r>
    </w:p>
    <w:p w:rsidR="0000596E" w:rsidRDefault="0000596E" w:rsidP="0000596E">
      <w:pPr>
        <w:ind w:firstLine="360"/>
        <w:jc w:val="both"/>
      </w:pPr>
    </w:p>
    <w:p w:rsidR="0000596E" w:rsidRPr="00731545" w:rsidRDefault="0000596E" w:rsidP="0000596E">
      <w:pPr>
        <w:keepNext/>
        <w:spacing w:line="360" w:lineRule="auto"/>
        <w:ind w:firstLine="357"/>
        <w:jc w:val="center"/>
        <w:rPr>
          <w:b/>
        </w:rPr>
      </w:pPr>
      <w:r>
        <w:rPr>
          <w:b/>
        </w:rPr>
        <w:lastRenderedPageBreak/>
        <w:t xml:space="preserve">Art. </w:t>
      </w:r>
      <w:r w:rsidR="00B3792A">
        <w:rPr>
          <w:b/>
        </w:rPr>
        <w:t>17</w:t>
      </w:r>
      <w:r>
        <w:rPr>
          <w:b/>
        </w:rPr>
        <w:t xml:space="preserve"> Gli incaricati dell’attuazione delle misure di prevenzione e protezione</w:t>
      </w:r>
    </w:p>
    <w:p w:rsidR="0000596E" w:rsidRPr="00731545" w:rsidRDefault="0000596E" w:rsidP="0000596E">
      <w:pPr>
        <w:numPr>
          <w:ilvl w:val="0"/>
          <w:numId w:val="41"/>
        </w:numPr>
        <w:jc w:val="both"/>
      </w:pPr>
      <w:r w:rsidRPr="00731545">
        <w:t xml:space="preserve">Gli </w:t>
      </w:r>
      <w:r>
        <w:t>incaricati</w:t>
      </w:r>
      <w:r w:rsidRPr="00731545">
        <w:t xml:space="preserve"> </w:t>
      </w:r>
      <w:r w:rsidRPr="00971E63">
        <w:t>dell’attuazione delle misure di prevenzione e protezione</w:t>
      </w:r>
      <w:r w:rsidRPr="00731545">
        <w:t xml:space="preserve"> sono individuat</w:t>
      </w:r>
      <w:r>
        <w:t>i</w:t>
      </w:r>
      <w:r w:rsidRPr="00731545">
        <w:t xml:space="preserve"> tra il personale fornito delle competenze necessarie e </w:t>
      </w:r>
      <w:r>
        <w:t>sono</w:t>
      </w:r>
      <w:r w:rsidRPr="00731545">
        <w:t xml:space="preserve"> appositamente formati attraverso specifico corso</w:t>
      </w:r>
      <w:r>
        <w:t>.</w:t>
      </w:r>
    </w:p>
    <w:p w:rsidR="0000596E" w:rsidRPr="00731545" w:rsidRDefault="0000596E" w:rsidP="0000596E">
      <w:pPr>
        <w:numPr>
          <w:ilvl w:val="0"/>
          <w:numId w:val="41"/>
        </w:numPr>
        <w:jc w:val="both"/>
      </w:pPr>
      <w:r w:rsidRPr="00731545">
        <w:t xml:space="preserve">Agli </w:t>
      </w:r>
      <w:r>
        <w:t>incaricati</w:t>
      </w:r>
      <w:r w:rsidRPr="00731545">
        <w:t xml:space="preserve"> </w:t>
      </w:r>
      <w:r w:rsidRPr="00971E63">
        <w:t>dell’attuazione delle misure di prevenzione e protezione</w:t>
      </w:r>
      <w:r w:rsidRPr="00731545">
        <w:t xml:space="preserve"> sopra indicati competono tutte le funzioni previste dalle norme di sicurezza.</w:t>
      </w:r>
    </w:p>
    <w:p w:rsidR="0000596E" w:rsidRDefault="0000596E" w:rsidP="0000596E">
      <w:pPr>
        <w:jc w:val="center"/>
      </w:pPr>
    </w:p>
    <w:p w:rsidR="0000596E" w:rsidRDefault="008F15A2" w:rsidP="0000596E">
      <w:pPr>
        <w:jc w:val="center"/>
        <w:rPr>
          <w:b/>
        </w:rPr>
      </w:pPr>
      <w:r>
        <w:rPr>
          <w:b/>
        </w:rPr>
        <w:t>T</w:t>
      </w:r>
      <w:r w:rsidR="0000596E">
        <w:rPr>
          <w:b/>
        </w:rPr>
        <w:t xml:space="preserve">ITOLO </w:t>
      </w:r>
      <w:r w:rsidR="00B3792A">
        <w:rPr>
          <w:b/>
        </w:rPr>
        <w:t>QUARTO</w:t>
      </w:r>
      <w:r w:rsidR="0000596E" w:rsidRPr="00C059C3">
        <w:rPr>
          <w:b/>
        </w:rPr>
        <w:t xml:space="preserve"> - NORME TRANSITORIE E FINALI</w:t>
      </w:r>
    </w:p>
    <w:p w:rsidR="0000596E" w:rsidRPr="004F76DE" w:rsidRDefault="0000596E" w:rsidP="0000596E">
      <w:pPr>
        <w:jc w:val="both"/>
      </w:pPr>
    </w:p>
    <w:p w:rsidR="0000596E" w:rsidRPr="00776AC6" w:rsidRDefault="0000596E" w:rsidP="0000596E">
      <w:pPr>
        <w:spacing w:line="360" w:lineRule="auto"/>
        <w:jc w:val="center"/>
        <w:rPr>
          <w:b/>
        </w:rPr>
      </w:pPr>
      <w:r w:rsidRPr="00776AC6">
        <w:rPr>
          <w:b/>
        </w:rPr>
        <w:t xml:space="preserve">Art. </w:t>
      </w:r>
      <w:r w:rsidR="00B3792A">
        <w:rPr>
          <w:b/>
        </w:rPr>
        <w:t>18</w:t>
      </w:r>
      <w:r w:rsidRPr="00776AC6">
        <w:rPr>
          <w:b/>
        </w:rPr>
        <w:t xml:space="preserve"> – Clausola di salvaguardia finanziaria</w:t>
      </w:r>
    </w:p>
    <w:p w:rsidR="0000596E" w:rsidRDefault="0000596E" w:rsidP="0000596E">
      <w:pPr>
        <w:numPr>
          <w:ilvl w:val="0"/>
          <w:numId w:val="42"/>
        </w:numPr>
      </w:pPr>
      <w:r w:rsidRPr="00546821">
        <w:t xml:space="preserve">Nel caso di accertata esorbitanza dai limiti di spesa il </w:t>
      </w:r>
      <w:r>
        <w:t>d</w:t>
      </w:r>
      <w:r w:rsidRPr="00546821">
        <w:t xml:space="preserve">irigente può sospendere, parzialmente o totalmente, l’esecuzione delle clausole del presente </w:t>
      </w:r>
      <w:r w:rsidR="00B3792A">
        <w:t>atto</w:t>
      </w:r>
      <w:r w:rsidRPr="00546821">
        <w:t xml:space="preserve"> produttive di tale violazione.</w:t>
      </w:r>
    </w:p>
    <w:p w:rsidR="0000596E" w:rsidRPr="00776AC6" w:rsidRDefault="0000596E" w:rsidP="0000596E">
      <w:pPr>
        <w:numPr>
          <w:ilvl w:val="0"/>
          <w:numId w:val="42"/>
        </w:numPr>
        <w:jc w:val="both"/>
      </w:pPr>
      <w:r w:rsidRPr="005C3301">
        <w:t>Nel caso in cui l’accertamento dell’incapienza del F</w:t>
      </w:r>
      <w:r>
        <w:t>ondo per il salario acces</w:t>
      </w:r>
      <w:r w:rsidR="00B3792A">
        <w:t>s</w:t>
      </w:r>
      <w:r>
        <w:t>orio</w:t>
      </w:r>
      <w:r w:rsidRPr="005C3301">
        <w:t xml:space="preserve"> intervenga quando le attività previste sono state già svolte, il dirigente</w:t>
      </w:r>
      <w:r w:rsidRPr="00776AC6">
        <w:t xml:space="preserve"> dispone, previa informazione alla parte sindacale, la riduzione dei compensi complessivamente spettanti a ciascun dipendente nella misura percentuale necessaria a garantire il ripristino della compatibilità finanziaria.</w:t>
      </w:r>
    </w:p>
    <w:p w:rsidR="0000596E" w:rsidRPr="005C3301" w:rsidRDefault="0000596E" w:rsidP="0000596E">
      <w:pPr>
        <w:jc w:val="both"/>
        <w:rPr>
          <w:i/>
          <w:color w:val="FF0000"/>
        </w:rPr>
      </w:pPr>
      <w:r w:rsidRPr="005C3301">
        <w:rPr>
          <w:color w:val="FF0000"/>
        </w:rPr>
        <w:t>[</w:t>
      </w:r>
      <w:r w:rsidRPr="005C3301">
        <w:rPr>
          <w:i/>
          <w:color w:val="FF0000"/>
        </w:rPr>
        <w:t>Si può anche ipotizzare un recupero circoscritto al sottoinsieme di attività in cui si è verificato lo sforamento, ma è più complicato individuare i confini dell’intervento. Da valutare</w:t>
      </w:r>
      <w:r>
        <w:rPr>
          <w:i/>
          <w:color w:val="FF0000"/>
        </w:rPr>
        <w:t xml:space="preserve"> caso per caso</w:t>
      </w:r>
      <w:r w:rsidRPr="005C3301">
        <w:rPr>
          <w:color w:val="FF0000"/>
        </w:rPr>
        <w:t>]</w:t>
      </w:r>
    </w:p>
    <w:p w:rsidR="0000596E" w:rsidRPr="00607B46" w:rsidRDefault="0000596E" w:rsidP="0000596E">
      <w:pPr>
        <w:jc w:val="both"/>
        <w:rPr>
          <w:i/>
        </w:rPr>
      </w:pPr>
    </w:p>
    <w:p w:rsidR="0000596E" w:rsidRPr="00776AC6" w:rsidRDefault="0000596E" w:rsidP="0000596E">
      <w:pPr>
        <w:spacing w:line="360" w:lineRule="auto"/>
        <w:jc w:val="center"/>
        <w:rPr>
          <w:b/>
        </w:rPr>
      </w:pPr>
      <w:r w:rsidRPr="00776AC6">
        <w:rPr>
          <w:b/>
        </w:rPr>
        <w:t xml:space="preserve">Art. </w:t>
      </w:r>
      <w:r w:rsidR="00B3792A">
        <w:rPr>
          <w:b/>
        </w:rPr>
        <w:t>19</w:t>
      </w:r>
      <w:r w:rsidRPr="00776AC6">
        <w:rPr>
          <w:b/>
        </w:rPr>
        <w:t xml:space="preserve"> – </w:t>
      </w:r>
      <w:r>
        <w:rPr>
          <w:b/>
        </w:rPr>
        <w:t>Procedura per la liquidazione del salario accessorio</w:t>
      </w:r>
    </w:p>
    <w:p w:rsidR="0000596E" w:rsidRPr="00776AC6" w:rsidRDefault="0000596E" w:rsidP="0000596E">
      <w:pPr>
        <w:numPr>
          <w:ilvl w:val="0"/>
          <w:numId w:val="43"/>
        </w:numPr>
        <w:jc w:val="both"/>
      </w:pPr>
      <w:r>
        <w:t>I progetti</w:t>
      </w:r>
      <w:r w:rsidRPr="00776AC6">
        <w:t xml:space="preserve"> per </w:t>
      </w:r>
      <w:r>
        <w:t>i</w:t>
      </w:r>
      <w:r w:rsidRPr="00776AC6">
        <w:t xml:space="preserve"> quali </w:t>
      </w:r>
      <w:r>
        <w:t>è</w:t>
      </w:r>
      <w:r w:rsidRPr="00776AC6">
        <w:t xml:space="preserve"> previsto un compenso a carico del F</w:t>
      </w:r>
      <w:r>
        <w:t>ondo per il salario accessorio</w:t>
      </w:r>
      <w:r w:rsidRPr="00776AC6">
        <w:t xml:space="preserve"> devono rendere espliciti preventivamente gli obiettivi attesi, la misura del loro raggiungimento e gli indicatori </w:t>
      </w:r>
      <w:r>
        <w:t xml:space="preserve">quantitativi da utilizzare </w:t>
      </w:r>
      <w:r w:rsidRPr="00776AC6">
        <w:t>per la verifica.</w:t>
      </w:r>
    </w:p>
    <w:p w:rsidR="0000596E" w:rsidRPr="00776AC6" w:rsidRDefault="0000596E" w:rsidP="0000596E">
      <w:pPr>
        <w:numPr>
          <w:ilvl w:val="0"/>
          <w:numId w:val="43"/>
        </w:numPr>
        <w:jc w:val="both"/>
      </w:pPr>
      <w:r w:rsidRPr="00776AC6">
        <w:t>La liquidazione dei relativi compensi avv</w:t>
      </w:r>
      <w:r>
        <w:t>iene</w:t>
      </w:r>
      <w:r w:rsidRPr="00776AC6">
        <w:t xml:space="preserve"> a consuntivo e previa verifica della corrispondenza sostanziale fra i risultati attesi e quelli effettivamente conseguiti.</w:t>
      </w:r>
    </w:p>
    <w:p w:rsidR="0000596E" w:rsidRPr="00776AC6" w:rsidRDefault="0000596E" w:rsidP="0000596E">
      <w:pPr>
        <w:numPr>
          <w:ilvl w:val="0"/>
          <w:numId w:val="43"/>
        </w:numPr>
        <w:jc w:val="both"/>
      </w:pPr>
      <w:r w:rsidRPr="00776AC6">
        <w:t xml:space="preserve">In caso di mancata corrispondenza, </w:t>
      </w:r>
      <w:r>
        <w:t xml:space="preserve">il dirigente dispone </w:t>
      </w:r>
      <w:r w:rsidRPr="00776AC6">
        <w:t xml:space="preserve">– a titolo di riconoscimento parziale del lavoro effettivamente svolto – </w:t>
      </w:r>
      <w:r>
        <w:t xml:space="preserve">la corresponsione di </w:t>
      </w:r>
      <w:r w:rsidRPr="002E0C02">
        <w:t>un importo</w:t>
      </w:r>
      <w:r>
        <w:t xml:space="preserve"> </w:t>
      </w:r>
      <w:r w:rsidRPr="005C3301">
        <w:t>commisurato al raggiungimento degli obietti</w:t>
      </w:r>
      <w:r>
        <w:t>vi</w:t>
      </w:r>
      <w:r w:rsidRPr="005C3301">
        <w:t xml:space="preserve"> attesi e comunque non superiore</w:t>
      </w:r>
      <w:r w:rsidRPr="00776AC6">
        <w:t xml:space="preserve"> al …</w:t>
      </w:r>
      <w:r>
        <w:t>..</w:t>
      </w:r>
      <w:r w:rsidRPr="00776AC6">
        <w:t>.</w:t>
      </w:r>
      <w:r>
        <w:t xml:space="preserve"> </w:t>
      </w:r>
      <w:r w:rsidRPr="0029412F">
        <w:t xml:space="preserve">% </w:t>
      </w:r>
      <w:r w:rsidRPr="00776AC6">
        <w:t>di quanto previsto</w:t>
      </w:r>
      <w:r>
        <w:t xml:space="preserve"> inizialmente</w:t>
      </w:r>
      <w:r w:rsidRPr="00776AC6">
        <w:t>.</w:t>
      </w:r>
    </w:p>
    <w:p w:rsidR="00743B93" w:rsidRPr="007504AF" w:rsidRDefault="00743B93" w:rsidP="0000596E">
      <w:pPr>
        <w:jc w:val="center"/>
        <w:rPr>
          <w:strike/>
        </w:rPr>
      </w:pPr>
    </w:p>
    <w:sectPr w:rsidR="00743B93" w:rsidRPr="007504AF" w:rsidSect="002302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B86" w:rsidRDefault="00510B86" w:rsidP="00C26D91">
      <w:r>
        <w:separator/>
      </w:r>
    </w:p>
  </w:endnote>
  <w:endnote w:type="continuationSeparator" w:id="0">
    <w:p w:rsidR="00510B86" w:rsidRDefault="00510B86" w:rsidP="00C26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ro Sans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B86" w:rsidRDefault="00510B86" w:rsidP="00C26D91">
      <w:r>
        <w:separator/>
      </w:r>
    </w:p>
  </w:footnote>
  <w:footnote w:type="continuationSeparator" w:id="0">
    <w:p w:rsidR="00510B86" w:rsidRDefault="00510B86" w:rsidP="00C26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D91" w:rsidRDefault="00C26D9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5B4"/>
    <w:multiLevelType w:val="hybridMultilevel"/>
    <w:tmpl w:val="DEFAD1C8"/>
    <w:lvl w:ilvl="0" w:tplc="FAC61E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B848C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CBD8C25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62B4D"/>
    <w:multiLevelType w:val="hybridMultilevel"/>
    <w:tmpl w:val="CE4CB49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40AE5"/>
    <w:multiLevelType w:val="hybridMultilevel"/>
    <w:tmpl w:val="584A6D3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A26C9E"/>
    <w:multiLevelType w:val="multilevel"/>
    <w:tmpl w:val="951E1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4D5580C"/>
    <w:multiLevelType w:val="hybridMultilevel"/>
    <w:tmpl w:val="EB4670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50DB8"/>
    <w:multiLevelType w:val="hybridMultilevel"/>
    <w:tmpl w:val="CC100974"/>
    <w:lvl w:ilvl="0" w:tplc="0256E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AB848C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CBD8C25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0D07CE"/>
    <w:multiLevelType w:val="hybridMultilevel"/>
    <w:tmpl w:val="777A2220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6629BA"/>
    <w:multiLevelType w:val="multilevel"/>
    <w:tmpl w:val="D534D37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89509F3"/>
    <w:multiLevelType w:val="hybridMultilevel"/>
    <w:tmpl w:val="2AB6FCA2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8C548C"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87E0C"/>
    <w:multiLevelType w:val="multilevel"/>
    <w:tmpl w:val="99C22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055615F"/>
    <w:multiLevelType w:val="multilevel"/>
    <w:tmpl w:val="99C22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4FF61A4"/>
    <w:multiLevelType w:val="hybridMultilevel"/>
    <w:tmpl w:val="D5A812DE"/>
    <w:lvl w:ilvl="0" w:tplc="CADC0E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3CC3"/>
    <w:multiLevelType w:val="multilevel"/>
    <w:tmpl w:val="951E1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729683F"/>
    <w:multiLevelType w:val="hybridMultilevel"/>
    <w:tmpl w:val="176625D4"/>
    <w:lvl w:ilvl="0" w:tplc="D5CEF134">
      <w:start w:val="2"/>
      <w:numFmt w:val="bullet"/>
      <w:lvlText w:val="-"/>
      <w:lvlJc w:val="left"/>
      <w:pPr>
        <w:tabs>
          <w:tab w:val="num" w:pos="872"/>
        </w:tabs>
        <w:ind w:left="872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B2131F"/>
    <w:multiLevelType w:val="multilevel"/>
    <w:tmpl w:val="99C22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C3F04D0"/>
    <w:multiLevelType w:val="multilevel"/>
    <w:tmpl w:val="A1E8B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11F7C36"/>
    <w:multiLevelType w:val="hybridMultilevel"/>
    <w:tmpl w:val="B92AFC50"/>
    <w:lvl w:ilvl="0" w:tplc="B05E929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E242CC"/>
    <w:multiLevelType w:val="hybridMultilevel"/>
    <w:tmpl w:val="1D1E864E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2602CD"/>
    <w:multiLevelType w:val="hybridMultilevel"/>
    <w:tmpl w:val="C416F39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2347E2"/>
    <w:multiLevelType w:val="hybridMultilevel"/>
    <w:tmpl w:val="0C60FD3E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1E70E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6049E5"/>
    <w:multiLevelType w:val="multilevel"/>
    <w:tmpl w:val="A1E8B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6596D26"/>
    <w:multiLevelType w:val="multilevel"/>
    <w:tmpl w:val="D534D37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9AC679C"/>
    <w:multiLevelType w:val="hybridMultilevel"/>
    <w:tmpl w:val="737CDF0A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BD613D"/>
    <w:multiLevelType w:val="hybridMultilevel"/>
    <w:tmpl w:val="4E8A624A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B2662E"/>
    <w:multiLevelType w:val="hybridMultilevel"/>
    <w:tmpl w:val="728E2C7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657303"/>
    <w:multiLevelType w:val="multilevel"/>
    <w:tmpl w:val="99C229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B9B7073"/>
    <w:multiLevelType w:val="hybridMultilevel"/>
    <w:tmpl w:val="843C67E8"/>
    <w:lvl w:ilvl="0" w:tplc="27066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AA6619"/>
    <w:multiLevelType w:val="multilevel"/>
    <w:tmpl w:val="951E1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7"/>
  </w:num>
  <w:num w:numId="24">
    <w:abstractNumId w:val="21"/>
  </w:num>
  <w:num w:numId="25">
    <w:abstractNumId w:val="24"/>
  </w:num>
  <w:num w:numId="26">
    <w:abstractNumId w:val="8"/>
  </w:num>
  <w:num w:numId="27">
    <w:abstractNumId w:val="26"/>
  </w:num>
  <w:num w:numId="28">
    <w:abstractNumId w:val="22"/>
  </w:num>
  <w:num w:numId="29">
    <w:abstractNumId w:val="23"/>
  </w:num>
  <w:num w:numId="30">
    <w:abstractNumId w:val="6"/>
  </w:num>
  <w:num w:numId="31">
    <w:abstractNumId w:val="17"/>
  </w:num>
  <w:num w:numId="32">
    <w:abstractNumId w:val="19"/>
  </w:num>
  <w:num w:numId="33">
    <w:abstractNumId w:val="2"/>
  </w:num>
  <w:num w:numId="34">
    <w:abstractNumId w:val="12"/>
  </w:num>
  <w:num w:numId="35">
    <w:abstractNumId w:val="27"/>
  </w:num>
  <w:num w:numId="36">
    <w:abstractNumId w:val="3"/>
  </w:num>
  <w:num w:numId="37">
    <w:abstractNumId w:val="13"/>
  </w:num>
  <w:num w:numId="38">
    <w:abstractNumId w:val="14"/>
  </w:num>
  <w:num w:numId="39">
    <w:abstractNumId w:val="9"/>
  </w:num>
  <w:num w:numId="40">
    <w:abstractNumId w:val="10"/>
  </w:num>
  <w:num w:numId="41">
    <w:abstractNumId w:val="15"/>
  </w:num>
  <w:num w:numId="42">
    <w:abstractNumId w:val="25"/>
  </w:num>
  <w:num w:numId="43">
    <w:abstractNumId w:val="20"/>
  </w:num>
  <w:num w:numId="44">
    <w:abstractNumId w:val="0"/>
  </w:num>
  <w:num w:numId="45">
    <w:abstractNumId w:val="16"/>
  </w:num>
  <w:num w:numId="46">
    <w:abstractNumId w:val="11"/>
  </w:num>
  <w:num w:numId="47">
    <w:abstractNumId w:val="18"/>
  </w:num>
  <w:num w:numId="48">
    <w:abstractNumId w:val="1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doNotTrackMoves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279"/>
    <w:rsid w:val="0000596E"/>
    <w:rsid w:val="000513BA"/>
    <w:rsid w:val="00073B35"/>
    <w:rsid w:val="000C4A6A"/>
    <w:rsid w:val="000D10E1"/>
    <w:rsid w:val="0011329B"/>
    <w:rsid w:val="0022406B"/>
    <w:rsid w:val="00230279"/>
    <w:rsid w:val="002409F8"/>
    <w:rsid w:val="00244B4B"/>
    <w:rsid w:val="00277D5F"/>
    <w:rsid w:val="0028688E"/>
    <w:rsid w:val="002D2371"/>
    <w:rsid w:val="002F1F7C"/>
    <w:rsid w:val="0039775C"/>
    <w:rsid w:val="003C3C72"/>
    <w:rsid w:val="003E6930"/>
    <w:rsid w:val="00433B31"/>
    <w:rsid w:val="00436C7D"/>
    <w:rsid w:val="00450157"/>
    <w:rsid w:val="00510B86"/>
    <w:rsid w:val="00533423"/>
    <w:rsid w:val="005B1E0B"/>
    <w:rsid w:val="005C45F3"/>
    <w:rsid w:val="00617C30"/>
    <w:rsid w:val="006B62C4"/>
    <w:rsid w:val="006E7289"/>
    <w:rsid w:val="00704252"/>
    <w:rsid w:val="00743B93"/>
    <w:rsid w:val="007504AF"/>
    <w:rsid w:val="0079129B"/>
    <w:rsid w:val="007A1F3E"/>
    <w:rsid w:val="007B0505"/>
    <w:rsid w:val="007B3214"/>
    <w:rsid w:val="007D25EC"/>
    <w:rsid w:val="00892393"/>
    <w:rsid w:val="008F15A2"/>
    <w:rsid w:val="00924197"/>
    <w:rsid w:val="009345E6"/>
    <w:rsid w:val="00936FDB"/>
    <w:rsid w:val="00976E39"/>
    <w:rsid w:val="00A01288"/>
    <w:rsid w:val="00A13827"/>
    <w:rsid w:val="00A31DF3"/>
    <w:rsid w:val="00A64E02"/>
    <w:rsid w:val="00B35FEC"/>
    <w:rsid w:val="00B3792A"/>
    <w:rsid w:val="00B42544"/>
    <w:rsid w:val="00BC6BD1"/>
    <w:rsid w:val="00BE7559"/>
    <w:rsid w:val="00C26D91"/>
    <w:rsid w:val="00C43FF0"/>
    <w:rsid w:val="00C50F12"/>
    <w:rsid w:val="00C954F0"/>
    <w:rsid w:val="00D2307C"/>
    <w:rsid w:val="00DC20BE"/>
    <w:rsid w:val="00E7696A"/>
    <w:rsid w:val="00E87595"/>
    <w:rsid w:val="00EF642F"/>
    <w:rsid w:val="00F54C0C"/>
    <w:rsid w:val="00FC6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027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30279"/>
    <w:pPr>
      <w:jc w:val="center"/>
    </w:pPr>
    <w:rPr>
      <w:b/>
      <w:bCs/>
      <w:lang/>
    </w:rPr>
  </w:style>
  <w:style w:type="character" w:customStyle="1" w:styleId="TitoloCarattere">
    <w:name w:val="Titolo Carattere"/>
    <w:link w:val="Titolo"/>
    <w:rsid w:val="0023027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743B93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rsid w:val="00743B93"/>
    <w:rPr>
      <w:rFonts w:ascii="Times New Roman" w:eastAsia="Times New Roman" w:hAnsi="Times New Roman"/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743B93"/>
    <w:pPr>
      <w:jc w:val="both"/>
    </w:pPr>
    <w:rPr>
      <w:szCs w:val="20"/>
      <w:lang/>
    </w:rPr>
  </w:style>
  <w:style w:type="character" w:customStyle="1" w:styleId="Corpodeltesto3Carattere">
    <w:name w:val="Corpo del testo 3 Carattere"/>
    <w:link w:val="Corpodeltesto3"/>
    <w:semiHidden/>
    <w:rsid w:val="00743B93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743B93"/>
    <w:pPr>
      <w:widowControl w:val="0"/>
      <w:autoSpaceDE w:val="0"/>
      <w:autoSpaceDN w:val="0"/>
      <w:adjustRightInd w:val="0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Pa53">
    <w:name w:val="Pa53"/>
    <w:basedOn w:val="Default"/>
    <w:next w:val="Default"/>
    <w:rsid w:val="00743B93"/>
    <w:pPr>
      <w:spacing w:after="20" w:line="220" w:lineRule="atLeast"/>
    </w:pPr>
    <w:rPr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C26D91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C26D91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7504AF"/>
    <w:pPr>
      <w:suppressAutoHyphens/>
      <w:spacing w:after="160" w:line="259" w:lineRule="auto"/>
      <w:ind w:left="720"/>
      <w:contextualSpacing/>
    </w:pPr>
    <w:rPr>
      <w:rFonts w:ascii="Calibri" w:eastAsia="Droid Sans Fallback" w:hAnsi="Calibri"/>
      <w:color w:val="00000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FDA2-4AD1-4B34-8DA1-E800CD6E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2831</Words>
  <Characters>16139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2020-09-08T19:08:00Z</dcterms:created>
  <dcterms:modified xsi:type="dcterms:W3CDTF">2020-09-08T19:08:00Z</dcterms:modified>
</cp:coreProperties>
</file>